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EE" w:rsidRDefault="002876EE" w:rsidP="002876EE"/>
    <w:p w:rsidR="002876EE" w:rsidRPr="00C35327" w:rsidRDefault="002876EE" w:rsidP="002876EE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 xml:space="preserve">ACTA DE LA SESIÓN ORDINARIA NO. </w:t>
      </w:r>
      <w:r>
        <w:rPr>
          <w:rFonts w:ascii="Arial" w:hAnsi="Arial" w:cs="Arial"/>
          <w:b/>
          <w:bCs/>
        </w:rPr>
        <w:t>3</w:t>
      </w:r>
      <w:r w:rsidRPr="00C35327">
        <w:rPr>
          <w:rFonts w:ascii="Arial" w:hAnsi="Arial" w:cs="Arial"/>
          <w:b/>
          <w:bCs/>
        </w:rPr>
        <w:t xml:space="preserve"> DE LA </w:t>
      </w:r>
    </w:p>
    <w:p w:rsidR="002876EE" w:rsidRPr="00C35327" w:rsidRDefault="002876EE" w:rsidP="002876EE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>COMISIÓN EDILICIA PERMANENTE DE JUSTICIA</w:t>
      </w:r>
    </w:p>
    <w:p w:rsidR="002876EE" w:rsidRPr="00C35327" w:rsidRDefault="002876EE" w:rsidP="002876EE">
      <w:pPr>
        <w:spacing w:line="276" w:lineRule="auto"/>
        <w:jc w:val="center"/>
        <w:rPr>
          <w:rFonts w:ascii="Arial" w:hAnsi="Arial" w:cs="Arial"/>
          <w:b/>
          <w:bCs/>
        </w:rPr>
      </w:pPr>
      <w:r w:rsidRPr="00C35327">
        <w:rPr>
          <w:rFonts w:ascii="Arial" w:hAnsi="Arial" w:cs="Arial"/>
          <w:b/>
          <w:bCs/>
        </w:rPr>
        <w:t xml:space="preserve">H. AYUNTAMIENTO DE ZAPOTLÁN EL GRANDE, JALISCO. </w:t>
      </w:r>
    </w:p>
    <w:p w:rsidR="002876EE" w:rsidRPr="00C35327" w:rsidRDefault="002876EE" w:rsidP="002876EE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2876EE" w:rsidRPr="00C35327" w:rsidRDefault="002876EE" w:rsidP="002876EE">
      <w:pPr>
        <w:spacing w:line="276" w:lineRule="auto"/>
        <w:jc w:val="both"/>
        <w:rPr>
          <w:rFonts w:ascii="Arial" w:hAnsi="Arial" w:cs="Arial"/>
        </w:rPr>
      </w:pPr>
      <w:r w:rsidRPr="00C35327">
        <w:rPr>
          <w:rFonts w:ascii="Arial" w:hAnsi="Arial" w:cs="Arial"/>
        </w:rPr>
        <w:t xml:space="preserve">En Zapotlán el Grande, Jalisco; a </w:t>
      </w:r>
      <w:r>
        <w:rPr>
          <w:rFonts w:ascii="Arial" w:hAnsi="Arial" w:cs="Arial"/>
        </w:rPr>
        <w:t>10</w:t>
      </w:r>
      <w:r w:rsidRPr="00C3532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diciembre del 2024, siendo las </w:t>
      </w:r>
      <w:r w:rsidRPr="00C94F48">
        <w:rPr>
          <w:rFonts w:ascii="Arial" w:hAnsi="Arial" w:cs="Arial"/>
        </w:rPr>
        <w:t>09:00 nueve horas</w:t>
      </w:r>
      <w:r w:rsidRPr="00C35327">
        <w:rPr>
          <w:rFonts w:ascii="Arial" w:hAnsi="Arial" w:cs="Arial"/>
        </w:rPr>
        <w:t xml:space="preserve"> reunidos en el lugar que ocupa la Sindicatura en planta alta del Palacio Municipal de Zapotlán el Grande, Jalisco, previamente convocados comparecen los CC. Claudia Margarita Robles Gómez, Ernesto Sánchez </w:t>
      </w:r>
      <w:proofErr w:type="spellStart"/>
      <w:r w:rsidRPr="00C35327">
        <w:rPr>
          <w:rFonts w:ascii="Arial" w:hAnsi="Arial" w:cs="Arial"/>
        </w:rPr>
        <w:t>Sánchez</w:t>
      </w:r>
      <w:proofErr w:type="spellEnd"/>
      <w:r w:rsidRPr="00C35327">
        <w:rPr>
          <w:rFonts w:ascii="Arial" w:hAnsi="Arial" w:cs="Arial"/>
        </w:rPr>
        <w:t xml:space="preserve"> y Adrián Briseño Esparza en su carácter de Sindica y Presidenta de la Comisión la primera y los subsecuentes y como Regidores y vocales de la Comisión Edilicia Permanente de Justicia; esto conforme a lo establecido por los artículos 27 de la Ley de Gobierno y la Administración Pública Municipal del Estado de Jalisco y 40 al 48, 61 y demás relativos del Reglamento interior del Ayuntamiento de Zapotlán el Grande, Jalisco.</w:t>
      </w:r>
    </w:p>
    <w:p w:rsidR="002876EE" w:rsidRPr="00C35327" w:rsidRDefault="002876EE" w:rsidP="002876EE">
      <w:pPr>
        <w:spacing w:line="276" w:lineRule="auto"/>
        <w:jc w:val="both"/>
        <w:rPr>
          <w:rFonts w:ascii="Arial" w:hAnsi="Arial" w:cs="Arial"/>
        </w:rPr>
      </w:pPr>
    </w:p>
    <w:p w:rsidR="002876EE" w:rsidRPr="00C35327" w:rsidRDefault="002876EE" w:rsidP="002876E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5327">
        <w:rPr>
          <w:rFonts w:ascii="Arial" w:hAnsi="Arial" w:cs="Arial"/>
          <w:sz w:val="24"/>
          <w:szCs w:val="24"/>
        </w:rPr>
        <w:t>Primer punto del orden del día Lista de Asistencia y Verificación de Quorum Legal. Por lo que se realizó el pase de lista a los regidores integrantes de la Comisión Edilicia:</w:t>
      </w:r>
    </w:p>
    <w:p w:rsidR="002876EE" w:rsidRPr="00C35327" w:rsidRDefault="002876EE" w:rsidP="002876E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6734"/>
        <w:gridCol w:w="2391"/>
      </w:tblGrid>
      <w:tr w:rsidR="002876EE" w:rsidRPr="00C35327" w:rsidTr="002876EE">
        <w:tc>
          <w:tcPr>
            <w:tcW w:w="6734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Asistencia</w:t>
            </w:r>
          </w:p>
        </w:tc>
      </w:tr>
      <w:tr w:rsidR="002876EE" w:rsidRPr="00C35327" w:rsidTr="002876EE">
        <w:tc>
          <w:tcPr>
            <w:tcW w:w="6734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sz w:val="24"/>
                <w:szCs w:val="24"/>
              </w:rPr>
              <w:t>Síndica Claudia Margarita Robles Gómez</w:t>
            </w:r>
          </w:p>
        </w:tc>
        <w:tc>
          <w:tcPr>
            <w:tcW w:w="2391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PRESENTE</w:t>
            </w:r>
          </w:p>
        </w:tc>
      </w:tr>
      <w:tr w:rsidR="002876EE" w:rsidRPr="00C35327" w:rsidTr="002876EE">
        <w:tc>
          <w:tcPr>
            <w:tcW w:w="6734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sz w:val="24"/>
                <w:szCs w:val="24"/>
              </w:rPr>
              <w:t xml:space="preserve">Regidor Ernesto Sánchez </w:t>
            </w:r>
            <w:proofErr w:type="spellStart"/>
            <w:r w:rsidRPr="00C35327">
              <w:rPr>
                <w:rFonts w:ascii="Arial" w:hAnsi="Arial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2391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PRESENTE</w:t>
            </w:r>
          </w:p>
        </w:tc>
      </w:tr>
      <w:tr w:rsidR="002876EE" w:rsidRPr="00C35327" w:rsidTr="002876EE">
        <w:tc>
          <w:tcPr>
            <w:tcW w:w="6734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sz w:val="24"/>
                <w:szCs w:val="24"/>
              </w:rPr>
              <w:t xml:space="preserve">Regidor Adrián Briseño Esparza </w:t>
            </w:r>
          </w:p>
        </w:tc>
        <w:tc>
          <w:tcPr>
            <w:tcW w:w="2391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PRESENTE</w:t>
            </w:r>
          </w:p>
        </w:tc>
      </w:tr>
    </w:tbl>
    <w:p w:rsidR="002876EE" w:rsidRPr="00C35327" w:rsidRDefault="002876EE" w:rsidP="002876EE">
      <w:pPr>
        <w:spacing w:line="276" w:lineRule="auto"/>
        <w:jc w:val="both"/>
        <w:rPr>
          <w:rFonts w:ascii="Arial" w:hAnsi="Arial" w:cs="Arial"/>
        </w:rPr>
      </w:pPr>
    </w:p>
    <w:p w:rsidR="002876EE" w:rsidRPr="00C35327" w:rsidRDefault="002876EE" w:rsidP="002876EE">
      <w:pPr>
        <w:spacing w:line="276" w:lineRule="auto"/>
        <w:jc w:val="both"/>
        <w:rPr>
          <w:rFonts w:ascii="Arial" w:hAnsi="Arial" w:cs="Arial"/>
        </w:rPr>
      </w:pPr>
      <w:r w:rsidRPr="00C35327">
        <w:rPr>
          <w:rFonts w:ascii="Arial" w:hAnsi="Arial" w:cs="Arial"/>
        </w:rPr>
        <w:t xml:space="preserve">Una vez lo anterior se hace constar la asistencia de 3 Integrantes de la Comisión Edilicia Permanente de Justicia. Por lo que se da la existencia de quórum legal </w:t>
      </w:r>
      <w:r w:rsidR="00C94F48">
        <w:rPr>
          <w:rFonts w:ascii="Arial" w:hAnsi="Arial" w:cs="Arial"/>
        </w:rPr>
        <w:t>e</w:t>
      </w:r>
      <w:r w:rsidRPr="00C35327">
        <w:rPr>
          <w:rFonts w:ascii="Arial" w:hAnsi="Arial" w:cs="Arial"/>
        </w:rPr>
        <w:t xml:space="preserve"> instalada la sesión ordinaria número </w:t>
      </w:r>
      <w:r w:rsidR="00C94F48">
        <w:rPr>
          <w:rFonts w:ascii="Arial" w:hAnsi="Arial" w:cs="Arial"/>
        </w:rPr>
        <w:t>3</w:t>
      </w:r>
      <w:r w:rsidRPr="00C35327">
        <w:rPr>
          <w:rFonts w:ascii="Arial" w:hAnsi="Arial" w:cs="Arial"/>
        </w:rPr>
        <w:t xml:space="preserve"> uno de la comisión de Justicia.</w:t>
      </w:r>
    </w:p>
    <w:p w:rsidR="002876EE" w:rsidRPr="00C35327" w:rsidRDefault="002876EE" w:rsidP="002876E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2876EE" w:rsidRPr="00C35327" w:rsidRDefault="002876EE" w:rsidP="002876E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5327">
        <w:rPr>
          <w:rFonts w:ascii="Arial" w:hAnsi="Arial" w:cs="Arial"/>
          <w:sz w:val="24"/>
          <w:szCs w:val="24"/>
        </w:rPr>
        <w:t>Acto continuo fue sometido a votación el orden del día propuesto, siendo el siguiente:</w:t>
      </w:r>
    </w:p>
    <w:p w:rsidR="002876EE" w:rsidRPr="00C35327" w:rsidRDefault="002876EE" w:rsidP="002876E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876EE" w:rsidRPr="00C35327" w:rsidRDefault="002876EE" w:rsidP="002876EE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_tradnl" w:eastAsia="es-ES_tradnl"/>
        </w:rPr>
      </w:pPr>
      <w:r w:rsidRPr="00C35327">
        <w:rPr>
          <w:rFonts w:ascii="Arial" w:hAnsi="Arial" w:cs="Arial"/>
          <w:b/>
          <w:bCs/>
          <w:sz w:val="24"/>
          <w:szCs w:val="24"/>
          <w:lang w:val="es-ES_tradnl" w:eastAsia="es-ES_tradnl"/>
        </w:rPr>
        <w:t>ORDEN DEL DÍA PROPUESTA</w:t>
      </w:r>
    </w:p>
    <w:p w:rsidR="002876EE" w:rsidRPr="00C35327" w:rsidRDefault="002876EE" w:rsidP="002876EE">
      <w:pPr>
        <w:spacing w:line="276" w:lineRule="auto"/>
        <w:rPr>
          <w:rFonts w:ascii="Arial" w:hAnsi="Arial" w:cs="Arial"/>
        </w:rPr>
      </w:pPr>
    </w:p>
    <w:p w:rsidR="00C94F48" w:rsidRPr="00427B07" w:rsidRDefault="00C94F48" w:rsidP="00C94F4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Primero:</w:t>
      </w:r>
      <w:r w:rsidRPr="00427B07">
        <w:rPr>
          <w:rFonts w:ascii="Arial" w:hAnsi="Arial" w:cs="Arial"/>
          <w:sz w:val="24"/>
          <w:szCs w:val="24"/>
        </w:rPr>
        <w:t xml:space="preserve"> Lista de asistencia y declaratoria de quorum</w:t>
      </w:r>
    </w:p>
    <w:p w:rsidR="00C94F48" w:rsidRPr="00427B07" w:rsidRDefault="00C94F48" w:rsidP="00C94F4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Segundo:</w:t>
      </w:r>
      <w:r w:rsidRPr="00427B07">
        <w:rPr>
          <w:rFonts w:ascii="Arial" w:hAnsi="Arial" w:cs="Arial"/>
          <w:sz w:val="24"/>
          <w:szCs w:val="24"/>
        </w:rPr>
        <w:t xml:space="preserve"> Lectura y aprobación del orden del día. </w:t>
      </w:r>
    </w:p>
    <w:p w:rsidR="00C94F48" w:rsidRPr="00427B07" w:rsidRDefault="00C94F48" w:rsidP="00C94F4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Tercero: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Análisis, discusión y en su caso aprobación del Programa Anual de Trabajo de la Comisión Edilicia de Justicia para el periodo de octubre 2024 a septiembre 2025. </w:t>
      </w:r>
    </w:p>
    <w:p w:rsidR="00C94F48" w:rsidRPr="00427B07" w:rsidRDefault="00C94F48" w:rsidP="00C94F4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B07">
        <w:rPr>
          <w:rFonts w:ascii="Arial" w:hAnsi="Arial" w:cs="Arial"/>
          <w:b/>
          <w:bCs/>
          <w:sz w:val="24"/>
          <w:szCs w:val="24"/>
        </w:rPr>
        <w:t>Cuarto:</w:t>
      </w:r>
      <w:r w:rsidRPr="00BB799D">
        <w:rPr>
          <w:rFonts w:ascii="Arial" w:hAnsi="Arial" w:cs="Arial"/>
          <w:bCs/>
          <w:sz w:val="24"/>
          <w:szCs w:val="24"/>
        </w:rPr>
        <w:t xml:space="preserve"> Puntos Varios </w:t>
      </w:r>
    </w:p>
    <w:p w:rsidR="00C94F48" w:rsidRDefault="00C94F48" w:rsidP="00C94F4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Quinto</w:t>
      </w:r>
      <w:r w:rsidRPr="00427B07">
        <w:rPr>
          <w:rFonts w:ascii="Arial" w:hAnsi="Arial" w:cs="Arial"/>
          <w:b/>
          <w:bCs/>
          <w:sz w:val="24"/>
          <w:szCs w:val="24"/>
        </w:rPr>
        <w:t>:</w:t>
      </w:r>
      <w:r w:rsidRPr="00427B07">
        <w:rPr>
          <w:rFonts w:ascii="Arial" w:hAnsi="Arial" w:cs="Arial"/>
          <w:sz w:val="24"/>
          <w:szCs w:val="24"/>
        </w:rPr>
        <w:t xml:space="preserve"> Clausura de la Sesión de la Comisión Edilicia de Justicia.</w:t>
      </w:r>
    </w:p>
    <w:p w:rsidR="002876EE" w:rsidRDefault="002876EE" w:rsidP="002876EE">
      <w:pPr>
        <w:spacing w:line="276" w:lineRule="auto"/>
        <w:rPr>
          <w:rFonts w:ascii="Arial" w:hAnsi="Arial" w:cs="Arial"/>
        </w:rPr>
      </w:pPr>
    </w:p>
    <w:p w:rsidR="00C94F48" w:rsidRDefault="00C94F48" w:rsidP="00C94F4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Presidenta de la Comisión Edilicia preguntó a l</w:t>
      </w:r>
      <w:r>
        <w:rPr>
          <w:rFonts w:ascii="Arial" w:hAnsi="Arial" w:cs="Arial"/>
          <w:sz w:val="24"/>
          <w:szCs w:val="24"/>
        </w:rPr>
        <w:t>os regidore</w:t>
      </w:r>
      <w:r>
        <w:rPr>
          <w:rFonts w:ascii="Arial" w:hAnsi="Arial" w:cs="Arial"/>
          <w:sz w:val="24"/>
          <w:szCs w:val="24"/>
        </w:rPr>
        <w:t xml:space="preserve">s presentes si ¿tienen algún punto vario que agendar? A lo que las Regidoras señalaron no tener puntos que agendar. </w:t>
      </w:r>
    </w:p>
    <w:p w:rsidR="00C94F48" w:rsidRDefault="00C94F48" w:rsidP="002876EE">
      <w:pPr>
        <w:spacing w:line="276" w:lineRule="auto"/>
        <w:rPr>
          <w:rFonts w:ascii="Arial" w:hAnsi="Arial" w:cs="Arial"/>
        </w:rPr>
      </w:pPr>
    </w:p>
    <w:p w:rsidR="002876EE" w:rsidRPr="00C35327" w:rsidRDefault="002876EE" w:rsidP="002876EE">
      <w:pPr>
        <w:spacing w:line="276" w:lineRule="auto"/>
        <w:jc w:val="both"/>
        <w:rPr>
          <w:rFonts w:ascii="Arial" w:hAnsi="Arial" w:cs="Arial"/>
        </w:rPr>
      </w:pPr>
      <w:r w:rsidRPr="00C35327">
        <w:rPr>
          <w:rFonts w:ascii="Arial" w:hAnsi="Arial" w:cs="Arial"/>
        </w:rPr>
        <w:t>Al no haber comentarios la Sindica y Presidenta de la Comisión Edilicia de Justicia, Mtra. Claudia Margarita Robles Gómez puso a votación el orden del día, siendo aprobado por unanimidad.</w:t>
      </w:r>
    </w:p>
    <w:p w:rsidR="002876EE" w:rsidRPr="00C35327" w:rsidRDefault="002876EE" w:rsidP="002876EE">
      <w:pPr>
        <w:spacing w:line="276" w:lineRule="auto"/>
        <w:jc w:val="both"/>
        <w:rPr>
          <w:rFonts w:ascii="Arial" w:hAnsi="Arial" w:cs="Arial"/>
        </w:rPr>
      </w:pPr>
    </w:p>
    <w:p w:rsidR="002876EE" w:rsidRPr="00C35327" w:rsidRDefault="002876EE" w:rsidP="002876EE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C35327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673"/>
        <w:gridCol w:w="1276"/>
        <w:gridCol w:w="1417"/>
        <w:gridCol w:w="1838"/>
      </w:tblGrid>
      <w:tr w:rsidR="002876EE" w:rsidRPr="00C35327" w:rsidTr="00A644CF">
        <w:tc>
          <w:tcPr>
            <w:tcW w:w="4673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417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838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B3B">
              <w:rPr>
                <w:rFonts w:ascii="Arial" w:hAnsi="Arial" w:cs="Arial"/>
                <w:b/>
                <w:szCs w:val="24"/>
              </w:rPr>
              <w:t>En Abstención</w:t>
            </w:r>
          </w:p>
        </w:tc>
      </w:tr>
      <w:tr w:rsidR="002876EE" w:rsidRPr="00C35327" w:rsidTr="00A644CF">
        <w:tc>
          <w:tcPr>
            <w:tcW w:w="4673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sz w:val="24"/>
                <w:szCs w:val="24"/>
              </w:rPr>
              <w:t>Síndica Claudia Margarita Robles Gómez</w:t>
            </w:r>
          </w:p>
        </w:tc>
        <w:tc>
          <w:tcPr>
            <w:tcW w:w="1276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6222AC1" wp14:editId="37CEED5B">
                  <wp:extent cx="282947" cy="209550"/>
                  <wp:effectExtent l="0" t="0" r="3175" b="0"/>
                  <wp:docPr id="23" name="Imagen 2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876EE" w:rsidRPr="00C35327" w:rsidTr="00A644CF">
        <w:tc>
          <w:tcPr>
            <w:tcW w:w="4673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sz w:val="24"/>
                <w:szCs w:val="24"/>
              </w:rPr>
              <w:t xml:space="preserve">Regidor Ernesto Sánchez </w:t>
            </w:r>
            <w:proofErr w:type="spellStart"/>
            <w:r w:rsidRPr="00C35327">
              <w:rPr>
                <w:rFonts w:ascii="Arial" w:hAnsi="Arial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276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8747B3A" wp14:editId="47A81844">
                  <wp:extent cx="282947" cy="209550"/>
                  <wp:effectExtent l="0" t="0" r="3175" b="0"/>
                  <wp:docPr id="1666047174" name="Imagen 166604717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6EE" w:rsidRPr="00C35327" w:rsidTr="00A644CF">
        <w:tc>
          <w:tcPr>
            <w:tcW w:w="4673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sz w:val="24"/>
                <w:szCs w:val="24"/>
              </w:rPr>
              <w:t xml:space="preserve">Regidor Adrián Briseño Esparza </w:t>
            </w:r>
          </w:p>
        </w:tc>
        <w:tc>
          <w:tcPr>
            <w:tcW w:w="1276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6B7CB63" wp14:editId="240250E9">
                  <wp:extent cx="282947" cy="209550"/>
                  <wp:effectExtent l="0" t="0" r="3175" b="0"/>
                  <wp:docPr id="24" name="Imagen 2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2876EE" w:rsidRPr="00C35327" w:rsidRDefault="002876EE" w:rsidP="002876E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C94F48" w:rsidRDefault="00F7092F" w:rsidP="00F7092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2903">
        <w:rPr>
          <w:rFonts w:ascii="Arial" w:hAnsi="Arial" w:cs="Arial"/>
        </w:rPr>
        <w:t xml:space="preserve">Una vez que fueron agotados los puntos 1 y 2 del orden día procedieron al desahogo del </w:t>
      </w:r>
      <w:r w:rsidRPr="00D92903">
        <w:rPr>
          <w:rFonts w:ascii="Arial" w:hAnsi="Arial" w:cs="Arial"/>
          <w:b/>
        </w:rPr>
        <w:t>TERCER PUNTO:</w:t>
      </w:r>
      <w:r w:rsidRPr="00F7092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Análisis, discusión y en su caso aprobación del Programa Anual de Trabajo de la Comisión Edilicia de Justicia para el periodo de octubre 2024 a septiembre 2025.</w:t>
      </w:r>
    </w:p>
    <w:p w:rsidR="00C94F48" w:rsidRDefault="00C94F48" w:rsidP="002876E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092F" w:rsidRDefault="00F7092F" w:rsidP="00F709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respecto la presidenta de la Comisión Edilicia de </w:t>
      </w:r>
      <w:r>
        <w:rPr>
          <w:rFonts w:ascii="Arial" w:hAnsi="Arial" w:cs="Arial"/>
        </w:rPr>
        <w:t xml:space="preserve">Justicia </w:t>
      </w:r>
      <w:r>
        <w:rPr>
          <w:rFonts w:ascii="Arial" w:hAnsi="Arial" w:cs="Arial"/>
        </w:rPr>
        <w:t xml:space="preserve">Mtra. Claudia Margarita Robles Gómez procedió a dar lectura al programa. </w:t>
      </w:r>
    </w:p>
    <w:p w:rsidR="00C94F48" w:rsidRDefault="00C94F48" w:rsidP="002876E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092F" w:rsidRPr="00F7092F" w:rsidRDefault="00F7092F" w:rsidP="00F7092F">
      <w:pPr>
        <w:ind w:left="1134" w:right="85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7092F">
        <w:rPr>
          <w:rFonts w:ascii="Arial Narrow" w:hAnsi="Arial Narrow" w:cs="Arial"/>
          <w:b/>
          <w:bCs/>
          <w:sz w:val="22"/>
          <w:szCs w:val="22"/>
        </w:rPr>
        <w:t>PROGRAMA ANUAL DE TRABAJO DE LA COMISIÓN EDILICIA DE JUSTICIA DEL H. AYUNTAMIENTO DE ZAPOTLÁN EL GRANDE, JALISCO.</w:t>
      </w:r>
    </w:p>
    <w:p w:rsidR="00F7092F" w:rsidRPr="00F7092F" w:rsidRDefault="00F7092F" w:rsidP="00F7092F">
      <w:pPr>
        <w:ind w:left="1134" w:right="85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F7092F" w:rsidRPr="00F7092F" w:rsidRDefault="00F7092F" w:rsidP="00F7092F">
      <w:pPr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La Comisión Edilicia de Justicia tiene a bien presentar el plan anual de programa que regirá las actividades de esta comisión para el periodo de octubre de 2024 a septiembre 2025.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b/>
          <w:sz w:val="22"/>
          <w:szCs w:val="22"/>
        </w:rPr>
      </w:pPr>
      <w:r w:rsidRPr="00F7092F">
        <w:rPr>
          <w:rFonts w:ascii="Arial Narrow" w:hAnsi="Arial Narrow" w:cs="Arial"/>
          <w:b/>
          <w:sz w:val="22"/>
          <w:szCs w:val="22"/>
        </w:rPr>
        <w:t>INTEGRANTES DE LA COMISIÓN EDILICIA: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b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Síndica y Presidenta de la Comisión Edilicia, Mtra. Claudia Margarita Robles Gómez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 xml:space="preserve">Regidor Vocal de la Comisión Edilicia, Lic. Ernesto Sánchez </w:t>
      </w:r>
      <w:proofErr w:type="spellStart"/>
      <w:r w:rsidRPr="00F7092F">
        <w:rPr>
          <w:rFonts w:ascii="Arial Narrow" w:hAnsi="Arial Narrow" w:cs="Arial"/>
          <w:sz w:val="22"/>
          <w:szCs w:val="22"/>
        </w:rPr>
        <w:t>Sáncehz</w:t>
      </w:r>
      <w:proofErr w:type="spellEnd"/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 xml:space="preserve">Regidor Vocal de la Comisión Edilicia, Lic. Ardían Briseño </w:t>
      </w:r>
      <w:r>
        <w:rPr>
          <w:rFonts w:ascii="Arial Narrow" w:hAnsi="Arial Narrow" w:cs="Arial"/>
          <w:sz w:val="22"/>
          <w:szCs w:val="22"/>
        </w:rPr>
        <w:t>Esparza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center"/>
        <w:rPr>
          <w:rFonts w:ascii="Arial Narrow" w:hAnsi="Arial Narrow" w:cs="Arial"/>
          <w:b/>
          <w:sz w:val="22"/>
          <w:szCs w:val="22"/>
        </w:rPr>
      </w:pPr>
      <w:r w:rsidRPr="00F7092F">
        <w:rPr>
          <w:rFonts w:ascii="Arial Narrow" w:hAnsi="Arial Narrow" w:cs="Arial"/>
          <w:b/>
          <w:sz w:val="22"/>
          <w:szCs w:val="22"/>
        </w:rPr>
        <w:t>MISION:</w:t>
      </w:r>
    </w:p>
    <w:p w:rsidR="00F7092F" w:rsidRPr="00F7092F" w:rsidRDefault="00F7092F" w:rsidP="00F7092F">
      <w:pPr>
        <w:spacing w:line="276" w:lineRule="auto"/>
        <w:ind w:left="1134" w:right="850"/>
        <w:jc w:val="center"/>
        <w:rPr>
          <w:rFonts w:ascii="Arial Narrow" w:hAnsi="Arial Narrow" w:cs="Arial"/>
          <w:b/>
          <w:sz w:val="22"/>
          <w:szCs w:val="22"/>
          <w:lang w:eastAsia="es-ES_tradnl"/>
        </w:rPr>
      </w:pP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  <w:lang w:eastAsia="es-ES_tradnl"/>
        </w:rPr>
      </w:pPr>
      <w:r w:rsidRPr="00F7092F">
        <w:rPr>
          <w:rFonts w:ascii="Arial Narrow" w:hAnsi="Arial Narrow" w:cs="Arial"/>
          <w:sz w:val="22"/>
          <w:szCs w:val="22"/>
          <w:lang w:eastAsia="es-ES_tradnl"/>
        </w:rPr>
        <w:t xml:space="preserve">EL Presente Programa Anual de Trabajo pretende el cumplimiento de lo estipulado en la Ley del Gobierno y la Administración Pública Municipal del Estado de Jalisco, el </w:t>
      </w:r>
      <w:r w:rsidRPr="00F7092F">
        <w:rPr>
          <w:rFonts w:ascii="Arial Narrow" w:hAnsi="Arial Narrow" w:cs="Arial"/>
          <w:sz w:val="22"/>
          <w:szCs w:val="22"/>
          <w:lang w:eastAsia="es-ES_tradnl"/>
        </w:rPr>
        <w:lastRenderedPageBreak/>
        <w:t xml:space="preserve">Reglamento del Gobierno y la Administración Pública Municipal de Zapotlán el Grande, el Reglamento de Justicia Cívica del Municipio de Zapotlán el Grande, Jalisco, pretendiendo </w:t>
      </w:r>
      <w:r w:rsidRPr="00F7092F">
        <w:rPr>
          <w:rFonts w:ascii="Arial Narrow" w:hAnsi="Arial Narrow" w:cs="Arial"/>
          <w:sz w:val="22"/>
          <w:szCs w:val="22"/>
        </w:rPr>
        <w:t>que las acciones emprendidas por esta comisión edilicia se ajusten tanto a esta nueva visión de justicia cívica como a los objetivos trazados en el Plan Municipal de Desarrollo y Gobernanza de Zapotlán el Grande.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  <w:lang w:eastAsia="es-ES_tradnl"/>
        </w:rPr>
      </w:pP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center"/>
        <w:rPr>
          <w:rFonts w:ascii="Arial Narrow" w:hAnsi="Arial Narrow" w:cs="Arial"/>
          <w:b/>
          <w:sz w:val="22"/>
          <w:szCs w:val="22"/>
        </w:rPr>
      </w:pPr>
      <w:r w:rsidRPr="00F7092F">
        <w:rPr>
          <w:rFonts w:ascii="Arial Narrow" w:hAnsi="Arial Narrow" w:cs="Arial"/>
          <w:b/>
          <w:sz w:val="22"/>
          <w:szCs w:val="22"/>
        </w:rPr>
        <w:t>VISIÓN:</w:t>
      </w: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center"/>
        <w:rPr>
          <w:rFonts w:ascii="Arial Narrow" w:hAnsi="Arial Narrow" w:cs="Arial"/>
          <w:b/>
          <w:sz w:val="22"/>
          <w:szCs w:val="22"/>
        </w:rPr>
      </w:pP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 xml:space="preserve">Es nuestra labor como Regidores, en la esfera de competencia y de conformidad a las facultades y obligaciones que de las leyes emanan, expresar nuestro compromiso de constituirnos como auténticos representantes populares, formulando y respaldando las propuestas que encaminen mejoras a la calidad de vida de los </w:t>
      </w:r>
      <w:proofErr w:type="spellStart"/>
      <w:r w:rsidRPr="00F7092F">
        <w:rPr>
          <w:rFonts w:ascii="Arial Narrow" w:hAnsi="Arial Narrow" w:cs="Arial"/>
          <w:sz w:val="22"/>
          <w:szCs w:val="22"/>
        </w:rPr>
        <w:t>Zapotlenses</w:t>
      </w:r>
      <w:proofErr w:type="spellEnd"/>
      <w:r w:rsidRPr="00F7092F">
        <w:rPr>
          <w:rFonts w:ascii="Arial Narrow" w:hAnsi="Arial Narrow" w:cs="Arial"/>
          <w:sz w:val="22"/>
          <w:szCs w:val="22"/>
        </w:rPr>
        <w:t xml:space="preserve">. </w:t>
      </w: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Tal y como lo establece el Artículo 27 en su párrafo primero, del capítulo V de la Ley del Gobierno y la Administración Pública Municipal del Estado de Jalisco “</w:t>
      </w:r>
      <w:r w:rsidRPr="00F7092F">
        <w:rPr>
          <w:rFonts w:ascii="Arial Narrow" w:hAnsi="Arial Narrow" w:cs="Arial"/>
          <w:b/>
          <w:sz w:val="22"/>
          <w:szCs w:val="22"/>
        </w:rPr>
        <w:t>los ayuntamientos, para el estudio, vigilancia y atención de los diversos asuntos que les corresponde conocer, deben funcionar mediante comisiones</w:t>
      </w:r>
      <w:r w:rsidRPr="00F7092F">
        <w:rPr>
          <w:rFonts w:ascii="Arial Narrow" w:hAnsi="Arial Narrow" w:cs="Arial"/>
          <w:sz w:val="22"/>
          <w:szCs w:val="22"/>
        </w:rPr>
        <w:t xml:space="preserve">”. </w:t>
      </w: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Cada comisión vigilará y cuidará el funcionamiento de la dependencia a cargo. Cada comisión programa, supervisa y vigila la aplicación de los recursos económicos, realiza la promoción de sus actividades ante la ciudadanía e informa al ayuntamiento, además de aplicar o proponer reformas a los reglamentos.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center"/>
        <w:rPr>
          <w:rFonts w:ascii="Arial Narrow" w:hAnsi="Arial Narrow" w:cs="Arial"/>
          <w:b/>
          <w:sz w:val="22"/>
          <w:szCs w:val="22"/>
        </w:rPr>
      </w:pPr>
      <w:r w:rsidRPr="00F7092F">
        <w:rPr>
          <w:rFonts w:ascii="Arial Narrow" w:hAnsi="Arial Narrow" w:cs="Arial"/>
          <w:b/>
          <w:sz w:val="22"/>
          <w:szCs w:val="22"/>
        </w:rPr>
        <w:t>INTRODUCCIÓN: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El presente documento toma como referencia los diversos instrumentos normativos y conceptuales aplicables a la materia, que sirven de apoyo para orientar los esfuerzos y proyectos de esta comisión. La definición más clara de acceso a la justicia se encuentra contenida en la Constitución Política de los Estados Unidos Mexicanos en su artículo 17° al señalar que ninguna persona podrá hacerse justicia por sí misma, ni ejercer violencia para reclamar su derecho, señala también que toda persona tiene derecho a que se le administre justicia por tribunales que estarán expeditos para impartirla en los plazos y términos que fijen las leyes, emitiendo sus resoluciones de manera pronta, completa e imparcial. Su servicio será gratuito, quedando, en consecuencia, prohibidas las costas judiciales. Y al precisar que no se puede ejercer justicia por propia mano, la autoridad se obliga a establecer y promover las instituciones y mecanismos que den solución a los conflictos cotidianos, producto de las relaciones directas entre las personas, y de las personas con la autoridad. Lo anterior no solo se atribuye a los tribunales de carácter jurisdiccional, sino también al establecimiento y promoción de instituciones que resuelvan los conflictos que surgen día a día en las relaciones directas de las personas.</w:t>
      </w: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lastRenderedPageBreak/>
        <w:t xml:space="preserve">Por lo anterior, es imperativo que las acciones emprendidas por esta comisión edilicia se ajusten tanto a esta nueva visión de justicia cívica como a los objetivos trazados en el Plan Municipal de Desarrollo y Gobernanza de Zapotlán el Grande. 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center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b/>
          <w:bCs/>
          <w:sz w:val="22"/>
          <w:szCs w:val="22"/>
        </w:rPr>
        <w:t>TIEMPO: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La Comisión sesionará cuantas veces sea necesario, de acuerdo a las necesidades de los asuntos. En el caso de que no existiera asunto por tratar, se sesionara una vez al mes por lo menos.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center"/>
        <w:rPr>
          <w:rFonts w:ascii="Arial Narrow" w:hAnsi="Arial Narrow" w:cs="Arial"/>
          <w:b/>
          <w:sz w:val="22"/>
          <w:szCs w:val="22"/>
        </w:rPr>
      </w:pPr>
      <w:r w:rsidRPr="00F7092F">
        <w:rPr>
          <w:rFonts w:ascii="Arial Narrow" w:hAnsi="Arial Narrow" w:cs="Arial"/>
          <w:b/>
          <w:sz w:val="22"/>
          <w:szCs w:val="22"/>
        </w:rPr>
        <w:t>FUNDAMENTO LEGAL: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b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b/>
          <w:bCs/>
          <w:snapToGrid w:val="0"/>
          <w:sz w:val="22"/>
          <w:szCs w:val="22"/>
        </w:rPr>
        <w:t>Ley del Gobierno y la Administración Pública Municipal del Estado de Jalisco en su artículo 27</w:t>
      </w:r>
      <w:r w:rsidRPr="00F7092F">
        <w:rPr>
          <w:rFonts w:ascii="Arial Narrow" w:hAnsi="Arial Narrow" w:cs="Arial"/>
          <w:snapToGrid w:val="0"/>
          <w:sz w:val="22"/>
          <w:szCs w:val="22"/>
        </w:rPr>
        <w:t>. Señala “Los Ayuntamientos, para el estudio, vigilancia y atención de los diversos asuntos que les corresponda conocer, deben funcionar mediante comisiones”. Y en su artículo 28 establece que “</w:t>
      </w:r>
      <w:r w:rsidRPr="00F7092F">
        <w:rPr>
          <w:rFonts w:ascii="Arial Narrow" w:hAnsi="Arial Narrow" w:cs="Arial"/>
          <w:sz w:val="22"/>
          <w:szCs w:val="22"/>
        </w:rPr>
        <w:t>En su primera sesión, el Ayuntamiento debe asignar las comisiones de acuerdo a los reglamentos correspondientes, a propuesta del Presidente Municipal”.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napToGrid w:val="0"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Las atribuciones de las comisiones edilicias en lo general se encuentran establecidas en el artículo 40 del Reglamento del Gobierno y de la Administración Pública Municipal y en lo particular las atribuciones de la Comisión Edilicia de Justicia se encuentran citadas en el artículo 61 de este mismo ordenamiento.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autoSpaceDE w:val="0"/>
        <w:autoSpaceDN w:val="0"/>
        <w:adjustRightInd w:val="0"/>
        <w:spacing w:line="276" w:lineRule="auto"/>
        <w:ind w:left="1134" w:right="850"/>
        <w:rPr>
          <w:rFonts w:ascii="Arial Narrow" w:hAnsi="Arial Narrow" w:cs="Arial"/>
          <w:b/>
          <w:bCs/>
          <w:kern w:val="0"/>
          <w:sz w:val="22"/>
          <w:szCs w:val="22"/>
        </w:rPr>
      </w:pPr>
      <w:r w:rsidRPr="00F7092F">
        <w:rPr>
          <w:rFonts w:ascii="Arial Narrow" w:hAnsi="Arial Narrow" w:cs="Arial"/>
          <w:b/>
          <w:bCs/>
          <w:kern w:val="0"/>
          <w:sz w:val="22"/>
          <w:szCs w:val="22"/>
        </w:rPr>
        <w:t>Artículo 40.-</w:t>
      </w:r>
    </w:p>
    <w:p w:rsidR="00F7092F" w:rsidRPr="00F7092F" w:rsidRDefault="00F7092F" w:rsidP="00F7092F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0C70DB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1. Las comisiones edilicias tienen las siguientes atribuciones:</w:t>
      </w:r>
    </w:p>
    <w:p w:rsidR="00F7092F" w:rsidRPr="00F7092F" w:rsidRDefault="00F7092F" w:rsidP="000C70DB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0C70DB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I Recibir, estudiar, analizar, discutir y dictaminar los asuntos turnados por el Ayuntamiento;</w:t>
      </w:r>
    </w:p>
    <w:p w:rsidR="00F7092F" w:rsidRPr="00F7092F" w:rsidRDefault="00F7092F" w:rsidP="000C70DB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II Presentar al Ayuntamiento los dictámenes e informes, resultados de sus trabajos e investigaciones y demás documentos relativos a los asuntos que les son turnados;</w:t>
      </w:r>
    </w:p>
    <w:p w:rsidR="00F7092F" w:rsidRPr="00F7092F" w:rsidRDefault="00F7092F" w:rsidP="000C70DB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 xml:space="preserve">III Participar del control y evaluación de los ramos de la actividad pública municipal que correspondan a sus atribuciones, mediante la presentación de informes y la participación en los procesos de planeación y </w:t>
      </w:r>
      <w:proofErr w:type="spellStart"/>
      <w:r w:rsidRPr="00F7092F">
        <w:rPr>
          <w:rFonts w:ascii="Arial Narrow" w:hAnsi="Arial Narrow" w:cs="Arial"/>
          <w:sz w:val="22"/>
          <w:szCs w:val="22"/>
        </w:rPr>
        <w:t>presupuestación</w:t>
      </w:r>
      <w:proofErr w:type="spellEnd"/>
      <w:r w:rsidRPr="00F7092F">
        <w:rPr>
          <w:rFonts w:ascii="Arial Narrow" w:hAnsi="Arial Narrow" w:cs="Arial"/>
          <w:sz w:val="22"/>
          <w:szCs w:val="22"/>
        </w:rPr>
        <w:t xml:space="preserve"> del Municipio;</w:t>
      </w:r>
    </w:p>
    <w:p w:rsidR="00F7092F" w:rsidRPr="00F7092F" w:rsidRDefault="00F7092F" w:rsidP="000C70DB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IV Evaluar los trabajos de las dependencias municipales en la materia que corresponda a sus atribuciones y con base en sus resultados y las necesidades operantes, proponer las medidas pertinentes para orientar la política municipal al respecto;</w:t>
      </w:r>
    </w:p>
    <w:p w:rsidR="00F7092F" w:rsidRPr="00F7092F" w:rsidRDefault="00F7092F" w:rsidP="000C70DB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V Citar a los titulares de las dependencias y entidades de la administración pública municipal, en los casos en que su comparecencia sea necesaria para el adecuado desempeño de sus atribuciones;</w:t>
      </w:r>
    </w:p>
    <w:p w:rsidR="00F7092F" w:rsidRPr="00F7092F" w:rsidRDefault="00F7092F" w:rsidP="000C70DB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lastRenderedPageBreak/>
        <w:t>VI Estudiar y, en su caso, proponer la celebración de convenios o contratos con la Federación, el Estado, los municipios o los particulares respecto de la materia que le corresponda en virtud de sus atribuciones; y</w:t>
      </w:r>
    </w:p>
    <w:p w:rsidR="00F7092F" w:rsidRPr="00F7092F" w:rsidRDefault="00F7092F" w:rsidP="000C70DB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VII Designar de entre sus miembros un representante para que integre el Consejo Municipal que le corresponda.</w:t>
      </w:r>
    </w:p>
    <w:p w:rsidR="00F7092F" w:rsidRPr="00F7092F" w:rsidRDefault="00F7092F" w:rsidP="00F7092F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2. Cuando los informes a que se refiere la fracción segunda del párrafo anterior fijen la postura del Ayuntamiento respecto de determinado asunto o se pronuncien respecto del estado que guarda la administración pública municipal, para que los mismos tengan validez, deben de ser votados y aprobados por el Ayuntamiento conforme a lo que establece este ordenamiento.</w:t>
      </w:r>
    </w:p>
    <w:p w:rsidR="00F7092F" w:rsidRPr="00F7092F" w:rsidRDefault="00F7092F" w:rsidP="00F7092F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b/>
          <w:sz w:val="22"/>
          <w:szCs w:val="22"/>
        </w:rPr>
        <w:t>Artículo 61.-</w:t>
      </w:r>
      <w:r w:rsidRPr="00F7092F">
        <w:rPr>
          <w:rFonts w:ascii="Arial Narrow" w:hAnsi="Arial Narrow" w:cs="Arial"/>
          <w:sz w:val="22"/>
          <w:szCs w:val="22"/>
        </w:rPr>
        <w:t xml:space="preserve"> La Comisión Edilicia de Justicia tiene las siguientes atribuciones:</w:t>
      </w:r>
    </w:p>
    <w:p w:rsidR="00F7092F" w:rsidRPr="00F7092F" w:rsidRDefault="00F7092F" w:rsidP="00F7092F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autoSpaceDE w:val="0"/>
        <w:autoSpaceDN w:val="0"/>
        <w:adjustRightInd w:val="0"/>
        <w:spacing w:after="240"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I Proponer, analizar, estudiar y dictaminar las iniciativas relativas a las atribuciones de los jueces municipales;</w:t>
      </w:r>
    </w:p>
    <w:p w:rsidR="00F7092F" w:rsidRPr="00F7092F" w:rsidRDefault="00F7092F" w:rsidP="00F7092F">
      <w:pPr>
        <w:autoSpaceDE w:val="0"/>
        <w:autoSpaceDN w:val="0"/>
        <w:adjustRightInd w:val="0"/>
        <w:spacing w:after="240"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II Evaluar los trabajos de las dependencias municipales con funciones en materia de Registro Civil y los juzgados municipales y con base en sus resultados y a las necesidades operantes, proponer las medidas pertinentes para orientar la política que sobre la justicia municipal deba emprender el municipio;</w:t>
      </w:r>
    </w:p>
    <w:p w:rsidR="00F7092F" w:rsidRPr="00F7092F" w:rsidRDefault="00F7092F" w:rsidP="00F7092F">
      <w:pPr>
        <w:autoSpaceDE w:val="0"/>
        <w:autoSpaceDN w:val="0"/>
        <w:adjustRightInd w:val="0"/>
        <w:spacing w:after="240"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III Estudiar y proponer la celebración de contratos, convenios o acuerdos de coordinación con autoridades de los distintos niveles de gobierno o con los particulares que tengan injerencia respecto del Registro Civil;</w:t>
      </w:r>
    </w:p>
    <w:p w:rsidR="00F7092F" w:rsidRPr="00F7092F" w:rsidRDefault="00F7092F" w:rsidP="00F7092F">
      <w:pPr>
        <w:autoSpaceDE w:val="0"/>
        <w:autoSpaceDN w:val="0"/>
        <w:adjustRightInd w:val="0"/>
        <w:spacing w:after="240"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IV Estudiar la estructura orgánica de la administración municipal, para efecto de proponer medios de mayor eficiencia y simplificación administrativa ante la población, en miras a obtener la mejor atención en la prestación de los servicios públicos; y</w:t>
      </w:r>
    </w:p>
    <w:p w:rsidR="00F7092F" w:rsidRPr="00F7092F" w:rsidRDefault="00F7092F" w:rsidP="00F7092F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V En general las que les confieran las leyes y reglamentos, así como las que se deriven de los acuerdos de Ayuntamiento.</w:t>
      </w:r>
    </w:p>
    <w:p w:rsidR="00F7092F" w:rsidRPr="00F7092F" w:rsidRDefault="00F7092F" w:rsidP="00F7092F">
      <w:pPr>
        <w:autoSpaceDE w:val="0"/>
        <w:autoSpaceDN w:val="0"/>
        <w:adjustRightInd w:val="0"/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center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b/>
          <w:sz w:val="22"/>
          <w:szCs w:val="22"/>
        </w:rPr>
        <w:t>OBJETIVO GENERAL: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 xml:space="preserve">Fortalecer la implementación del nuevo modelo de Justicia Cívica que fomenten una cultura de paz y legalidad en el municipio y que permita la atención de conductas adversas a la reglamentación municipal, antes de que estas conductas escalen a niveles delictivos, teniendo como principal herramienta la utilización de métodos alternos de solución de conflictos. 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pStyle w:val="NormalWeb"/>
        <w:spacing w:before="0" w:beforeAutospacing="0" w:after="0" w:afterAutospacing="0" w:line="276" w:lineRule="auto"/>
        <w:ind w:left="1134" w:right="85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F7092F">
        <w:rPr>
          <w:rFonts w:ascii="Arial Narrow" w:hAnsi="Arial Narrow" w:cs="Arial"/>
          <w:b/>
          <w:bCs/>
          <w:sz w:val="22"/>
          <w:szCs w:val="22"/>
        </w:rPr>
        <w:t>DESCRIPCIÓN DEL PROGRAMA DE TRABAJO: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b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center"/>
        <w:rPr>
          <w:rFonts w:ascii="Arial Narrow" w:hAnsi="Arial Narrow" w:cs="Arial"/>
          <w:b/>
          <w:sz w:val="22"/>
          <w:szCs w:val="22"/>
        </w:rPr>
      </w:pPr>
      <w:r w:rsidRPr="00F7092F">
        <w:rPr>
          <w:rFonts w:ascii="Arial Narrow" w:hAnsi="Arial Narrow" w:cs="Arial"/>
          <w:b/>
          <w:sz w:val="22"/>
          <w:szCs w:val="22"/>
        </w:rPr>
        <w:lastRenderedPageBreak/>
        <w:t>LÍNEAS DE ACCIÓN</w:t>
      </w: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b/>
          <w:sz w:val="22"/>
          <w:szCs w:val="22"/>
        </w:rPr>
      </w:pPr>
    </w:p>
    <w:p w:rsidR="00F7092F" w:rsidRPr="00F7092F" w:rsidRDefault="00F7092F" w:rsidP="00F7092F">
      <w:pPr>
        <w:pStyle w:val="Prrafodelista"/>
        <w:numPr>
          <w:ilvl w:val="0"/>
          <w:numId w:val="4"/>
        </w:num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Modernizar y armonizar el marco jurídico municipal en materia de justicia, conforme a la Constitución Política de los Estados Unidos Mexicanos, leyes federales en materia de justicia cívica.</w:t>
      </w:r>
    </w:p>
    <w:p w:rsidR="00F7092F" w:rsidRPr="00F7092F" w:rsidRDefault="00F7092F" w:rsidP="00F7092F">
      <w:pPr>
        <w:pStyle w:val="Prrafodelista"/>
        <w:numPr>
          <w:ilvl w:val="0"/>
          <w:numId w:val="4"/>
        </w:num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 xml:space="preserve">Dar seguimiento a la implementación del Modelo Homologado de Justicia Cívica. </w:t>
      </w:r>
    </w:p>
    <w:p w:rsidR="00F7092F" w:rsidRPr="00F7092F" w:rsidRDefault="00F7092F" w:rsidP="00F7092F">
      <w:pPr>
        <w:pStyle w:val="Prrafodelista"/>
        <w:numPr>
          <w:ilvl w:val="0"/>
          <w:numId w:val="4"/>
        </w:num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 xml:space="preserve">Dar seguimiento a la integración y funcionamiento del Comité de Ética del Municipio de Zapotlán el Grande, Jalisco. </w:t>
      </w:r>
    </w:p>
    <w:p w:rsidR="00F7092F" w:rsidRPr="00F7092F" w:rsidRDefault="00F7092F" w:rsidP="00F7092F">
      <w:pPr>
        <w:pStyle w:val="Prrafodelista"/>
        <w:numPr>
          <w:ilvl w:val="0"/>
          <w:numId w:val="4"/>
        </w:num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 xml:space="preserve">Comparecencias periódicas en la comisión edilicia de Justicia de los Jueces Municipales y del Oficial de Registro Civil para que compartan los informes de resultados de sus actividades. </w:t>
      </w:r>
    </w:p>
    <w:p w:rsidR="00F7092F" w:rsidRPr="00F7092F" w:rsidRDefault="00F7092F" w:rsidP="00F7092F">
      <w:pPr>
        <w:pStyle w:val="Prrafodelista"/>
        <w:numPr>
          <w:ilvl w:val="0"/>
          <w:numId w:val="4"/>
        </w:num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Promover capacitación a los servidores públicos de la Dirección del Registro Civil, en materia de la modificación de datos personales contenidos en las actas del Estado Civil conforme a la identidad de género auto-percibida.</w:t>
      </w:r>
    </w:p>
    <w:p w:rsidR="00F7092F" w:rsidRPr="00F7092F" w:rsidRDefault="00F7092F" w:rsidP="00F7092F">
      <w:pPr>
        <w:pStyle w:val="Prrafodelista"/>
        <w:numPr>
          <w:ilvl w:val="0"/>
          <w:numId w:val="4"/>
        </w:num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Evaluar el desempeño de los Jueces Municipales de manera continua y permanente.</w:t>
      </w:r>
    </w:p>
    <w:p w:rsidR="00F7092F" w:rsidRPr="00F7092F" w:rsidRDefault="00F7092F" w:rsidP="00F7092F">
      <w:pPr>
        <w:pStyle w:val="Prrafodelista"/>
        <w:numPr>
          <w:ilvl w:val="0"/>
          <w:numId w:val="4"/>
        </w:num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 xml:space="preserve">Analizar la pertinencia de emitir una convocatoria para ocupar el Cargo de Jueces Municipales con funciones de Centro Público de Mediación. </w:t>
      </w:r>
    </w:p>
    <w:p w:rsidR="00F7092F" w:rsidRPr="00F7092F" w:rsidRDefault="00F7092F" w:rsidP="00F7092F">
      <w:pPr>
        <w:pStyle w:val="Prrafodelista"/>
        <w:numPr>
          <w:ilvl w:val="0"/>
          <w:numId w:val="4"/>
        </w:num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>Analizar y en su caso proponer reformas al Reglamento que Rige el Procedimiento de Designación y Funcionamiento de los Delegados y Agentes Municipales en Zapotlán el Grande Jalisco.</w:t>
      </w:r>
    </w:p>
    <w:p w:rsidR="00F7092F" w:rsidRPr="00F7092F" w:rsidRDefault="00F7092F" w:rsidP="00F7092F">
      <w:pPr>
        <w:spacing w:line="360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</w:p>
    <w:p w:rsidR="00F7092F" w:rsidRPr="00F7092F" w:rsidRDefault="00F7092F" w:rsidP="00F7092F">
      <w:pPr>
        <w:spacing w:line="276" w:lineRule="auto"/>
        <w:ind w:left="1134" w:right="850"/>
        <w:jc w:val="both"/>
        <w:rPr>
          <w:rFonts w:ascii="Arial Narrow" w:hAnsi="Arial Narrow" w:cs="Arial"/>
          <w:sz w:val="22"/>
          <w:szCs w:val="22"/>
        </w:rPr>
      </w:pPr>
      <w:r w:rsidRPr="00F7092F">
        <w:rPr>
          <w:rFonts w:ascii="Arial Narrow" w:hAnsi="Arial Narrow" w:cs="Arial"/>
          <w:sz w:val="22"/>
          <w:szCs w:val="22"/>
        </w:rPr>
        <w:t xml:space="preserve">El seguimiento al Plan de Trabajo de esta Comisión representa un elemento de suma importancia para el monitoreo y retroalimentación constante de las acciones que se deben implementar para el cumplimiento de los objetivos señalados, por lo que, resulta indispensable, que tanto el seguimiento y evaluación del Plan de Trabajo se realice de manera conjunta con los integrantes de la Comisión Edilicia de Justicia. </w:t>
      </w:r>
    </w:p>
    <w:p w:rsidR="00C94F48" w:rsidRDefault="00C94F48" w:rsidP="002876E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092F" w:rsidRDefault="00F7092F" w:rsidP="00F7092F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7092F">
        <w:rPr>
          <w:rFonts w:ascii="Arial" w:hAnsi="Arial" w:cs="Arial"/>
          <w:sz w:val="24"/>
          <w:szCs w:val="28"/>
        </w:rPr>
        <w:t>Al concluir la lectura la Presidenta de la Comisión lo puso a consideración del Programa Anual</w:t>
      </w:r>
      <w:r w:rsidRPr="00F7092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Trabajo de la Comisión Edilicia de Justicia para el periodo de octubre 2024 a septiembre 2025</w:t>
      </w:r>
      <w:r>
        <w:rPr>
          <w:rFonts w:ascii="Arial" w:hAnsi="Arial" w:cs="Arial"/>
          <w:bCs/>
          <w:sz w:val="24"/>
          <w:szCs w:val="24"/>
        </w:rPr>
        <w:t>.</w:t>
      </w:r>
    </w:p>
    <w:p w:rsidR="00F7092F" w:rsidRDefault="00F7092F" w:rsidP="00F7092F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7092F" w:rsidRPr="00F7092F" w:rsidRDefault="00F7092F" w:rsidP="00F7092F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 respecto los regidores </w:t>
      </w:r>
      <w:r w:rsidRPr="00C35327">
        <w:rPr>
          <w:rFonts w:ascii="Arial" w:hAnsi="Arial" w:cs="Arial"/>
          <w:sz w:val="24"/>
          <w:szCs w:val="24"/>
        </w:rPr>
        <w:t xml:space="preserve">Ernesto Sánchez </w:t>
      </w:r>
      <w:proofErr w:type="spellStart"/>
      <w:r w:rsidRPr="00C35327">
        <w:rPr>
          <w:rFonts w:ascii="Arial" w:hAnsi="Arial" w:cs="Arial"/>
          <w:sz w:val="24"/>
          <w:szCs w:val="24"/>
        </w:rPr>
        <w:t>Sánchez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r w:rsidRPr="00C35327">
        <w:rPr>
          <w:rFonts w:ascii="Arial" w:hAnsi="Arial" w:cs="Arial"/>
          <w:sz w:val="24"/>
          <w:szCs w:val="24"/>
        </w:rPr>
        <w:t>Adrián Briseño Esparza</w:t>
      </w:r>
      <w:r w:rsidR="000C70DB">
        <w:rPr>
          <w:rFonts w:ascii="Arial" w:hAnsi="Arial" w:cs="Arial"/>
          <w:sz w:val="24"/>
          <w:szCs w:val="24"/>
        </w:rPr>
        <w:t xml:space="preserve"> coincidieron en que los puntos propuestos son acertados y acordes a las atribuciones que como Comisión Edilicia se tiene y manifestaron su apoyo y respaldo para trabajar en pro de cumplir con los objetivos planteados en este </w:t>
      </w:r>
      <w:r w:rsidR="000C70DB" w:rsidRPr="00F7092F">
        <w:rPr>
          <w:rFonts w:ascii="Arial" w:hAnsi="Arial" w:cs="Arial"/>
          <w:sz w:val="24"/>
          <w:szCs w:val="28"/>
        </w:rPr>
        <w:t>Programa Anual</w:t>
      </w:r>
      <w:r w:rsidR="000C70DB" w:rsidRPr="00F7092F">
        <w:rPr>
          <w:rFonts w:ascii="Arial" w:hAnsi="Arial" w:cs="Arial"/>
          <w:bCs/>
          <w:sz w:val="24"/>
          <w:szCs w:val="24"/>
        </w:rPr>
        <w:t xml:space="preserve"> </w:t>
      </w:r>
      <w:r w:rsidR="000C70DB">
        <w:rPr>
          <w:rFonts w:ascii="Arial" w:hAnsi="Arial" w:cs="Arial"/>
          <w:bCs/>
          <w:sz w:val="24"/>
          <w:szCs w:val="24"/>
        </w:rPr>
        <w:t>de Trabajo de la Comisión Edilicia de Justicia para el periodo de octubre 2024 a septiembre 2025</w:t>
      </w:r>
      <w:r w:rsidR="000C70DB">
        <w:rPr>
          <w:rFonts w:ascii="Arial" w:hAnsi="Arial" w:cs="Arial"/>
          <w:bCs/>
          <w:sz w:val="24"/>
          <w:szCs w:val="24"/>
        </w:rPr>
        <w:t>.</w:t>
      </w:r>
    </w:p>
    <w:p w:rsidR="00F7092F" w:rsidRPr="000C70DB" w:rsidRDefault="00F7092F" w:rsidP="002876E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70DB" w:rsidRPr="000C70DB" w:rsidRDefault="000C70DB" w:rsidP="002876E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70DB">
        <w:rPr>
          <w:rFonts w:ascii="Arial" w:hAnsi="Arial" w:cs="Arial"/>
          <w:sz w:val="24"/>
          <w:szCs w:val="24"/>
        </w:rPr>
        <w:t>Al no existir más comentarios por parte de</w:t>
      </w:r>
      <w:r w:rsidRPr="000C70DB">
        <w:rPr>
          <w:rFonts w:ascii="Arial" w:hAnsi="Arial" w:cs="Arial"/>
          <w:sz w:val="24"/>
          <w:szCs w:val="24"/>
        </w:rPr>
        <w:t xml:space="preserve"> los regidores asistentes </w:t>
      </w:r>
      <w:r w:rsidRPr="000C70DB">
        <w:rPr>
          <w:rFonts w:ascii="Arial" w:hAnsi="Arial" w:cs="Arial"/>
          <w:sz w:val="24"/>
          <w:szCs w:val="24"/>
        </w:rPr>
        <w:t>sometió a votación la aprobación del Programa Anual de Trabajo de la Comisión Edilicia de</w:t>
      </w:r>
      <w:r w:rsidRPr="000C70DB">
        <w:rPr>
          <w:rFonts w:ascii="Arial" w:hAnsi="Arial" w:cs="Arial"/>
          <w:sz w:val="24"/>
          <w:szCs w:val="24"/>
        </w:rPr>
        <w:t xml:space="preserve"> Justicia</w:t>
      </w:r>
      <w:r w:rsidRPr="000C70DB">
        <w:rPr>
          <w:rFonts w:ascii="Arial" w:hAnsi="Arial" w:cs="Arial"/>
          <w:bCs/>
          <w:sz w:val="24"/>
          <w:szCs w:val="24"/>
        </w:rPr>
        <w:t xml:space="preserve"> </w:t>
      </w:r>
      <w:r w:rsidRPr="000C70DB">
        <w:rPr>
          <w:rFonts w:ascii="Arial" w:hAnsi="Arial" w:cs="Arial"/>
          <w:bCs/>
          <w:sz w:val="24"/>
          <w:szCs w:val="24"/>
        </w:rPr>
        <w:t>para el periodo de octubre 2024 a septiembre 2025.</w:t>
      </w:r>
    </w:p>
    <w:p w:rsidR="000C70DB" w:rsidRPr="000C70DB" w:rsidRDefault="000C70DB" w:rsidP="002876EE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C70DB" w:rsidRPr="000C70DB" w:rsidRDefault="000C70DB" w:rsidP="000C70DB">
      <w:pPr>
        <w:jc w:val="both"/>
        <w:rPr>
          <w:rFonts w:ascii="Arial" w:hAnsi="Arial" w:cs="Arial"/>
        </w:rPr>
      </w:pPr>
      <w:r w:rsidRPr="000C70DB">
        <w:rPr>
          <w:rFonts w:ascii="Arial" w:hAnsi="Arial" w:cs="Arial"/>
        </w:rPr>
        <w:t>Siendo aprobado por unanimidad de las integrantes de la Comisión Edilicia de Reglamentos y Gobernación.</w:t>
      </w:r>
    </w:p>
    <w:p w:rsidR="002876EE" w:rsidRPr="000C70DB" w:rsidRDefault="002876EE" w:rsidP="002876EE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876EE" w:rsidRPr="00C35327" w:rsidRDefault="002876EE" w:rsidP="002876EE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C35327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673"/>
        <w:gridCol w:w="1276"/>
        <w:gridCol w:w="1417"/>
        <w:gridCol w:w="1838"/>
      </w:tblGrid>
      <w:tr w:rsidR="002876EE" w:rsidRPr="00C35327" w:rsidTr="000C70DB">
        <w:tc>
          <w:tcPr>
            <w:tcW w:w="4673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417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838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B3B">
              <w:rPr>
                <w:rFonts w:ascii="Arial" w:hAnsi="Arial" w:cs="Arial"/>
                <w:b/>
                <w:szCs w:val="24"/>
              </w:rPr>
              <w:t>En Abstención</w:t>
            </w:r>
          </w:p>
        </w:tc>
      </w:tr>
      <w:tr w:rsidR="002876EE" w:rsidRPr="00C35327" w:rsidTr="000C70DB">
        <w:tc>
          <w:tcPr>
            <w:tcW w:w="4673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sz w:val="24"/>
                <w:szCs w:val="24"/>
              </w:rPr>
              <w:t>Síndica Claudia Margarita Robles Gómez</w:t>
            </w:r>
          </w:p>
        </w:tc>
        <w:tc>
          <w:tcPr>
            <w:tcW w:w="1276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C12FD5A" wp14:editId="2F8E5D6F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876EE" w:rsidRPr="00C35327" w:rsidTr="000C70DB">
        <w:tc>
          <w:tcPr>
            <w:tcW w:w="4673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sz w:val="24"/>
                <w:szCs w:val="24"/>
              </w:rPr>
              <w:t xml:space="preserve">Regidor Ernesto Sánchez </w:t>
            </w:r>
            <w:proofErr w:type="spellStart"/>
            <w:r w:rsidRPr="00C35327">
              <w:rPr>
                <w:rFonts w:ascii="Arial" w:hAnsi="Arial" w:cs="Arial"/>
                <w:sz w:val="24"/>
                <w:szCs w:val="24"/>
              </w:rPr>
              <w:t>Sánchez</w:t>
            </w:r>
            <w:proofErr w:type="spellEnd"/>
          </w:p>
        </w:tc>
        <w:tc>
          <w:tcPr>
            <w:tcW w:w="1276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03A328FF" wp14:editId="25685E8F">
                  <wp:extent cx="282947" cy="209550"/>
                  <wp:effectExtent l="0" t="0" r="3175" b="0"/>
                  <wp:docPr id="5" name="Imagen 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6EE" w:rsidRPr="00C35327" w:rsidTr="000C70DB">
        <w:tc>
          <w:tcPr>
            <w:tcW w:w="4673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sz w:val="24"/>
                <w:szCs w:val="24"/>
              </w:rPr>
              <w:t xml:space="preserve">Regidor Adrián Briseño Esparza </w:t>
            </w:r>
          </w:p>
        </w:tc>
        <w:tc>
          <w:tcPr>
            <w:tcW w:w="1276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327"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00055F6" wp14:editId="17EE992F">
                  <wp:extent cx="282947" cy="209550"/>
                  <wp:effectExtent l="0" t="0" r="3175" b="0"/>
                  <wp:docPr id="6" name="Imagen 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838" w:type="dxa"/>
          </w:tcPr>
          <w:p w:rsidR="002876EE" w:rsidRPr="00C35327" w:rsidRDefault="002876EE" w:rsidP="002876EE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2876EE" w:rsidRPr="00C35327" w:rsidRDefault="002876EE" w:rsidP="002876EE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0C70DB" w:rsidRPr="00836E0D" w:rsidRDefault="000C70DB" w:rsidP="000C70DB">
      <w:pPr>
        <w:jc w:val="both"/>
        <w:rPr>
          <w:rFonts w:ascii="Arial" w:hAnsi="Arial" w:cs="Arial"/>
        </w:rPr>
      </w:pPr>
      <w:r w:rsidRPr="00836E0D">
        <w:rPr>
          <w:rFonts w:ascii="Arial" w:hAnsi="Arial" w:cs="Arial"/>
          <w:bCs/>
        </w:rPr>
        <w:t xml:space="preserve">Una vez agotado el punto tercero del orden del día continuaron con el desahogo del </w:t>
      </w:r>
      <w:r w:rsidRPr="00836E0D">
        <w:rPr>
          <w:rFonts w:ascii="Arial" w:hAnsi="Arial" w:cs="Arial"/>
          <w:b/>
        </w:rPr>
        <w:t xml:space="preserve">cuarto punto </w:t>
      </w:r>
      <w:r w:rsidRPr="00836E0D">
        <w:rPr>
          <w:rFonts w:ascii="Arial" w:hAnsi="Arial" w:cs="Arial"/>
        </w:rPr>
        <w:t xml:space="preserve">corresponde a </w:t>
      </w:r>
      <w:r>
        <w:rPr>
          <w:rFonts w:ascii="Arial" w:hAnsi="Arial" w:cs="Arial"/>
        </w:rPr>
        <w:t>puntos varios, por lo cual al no haber sido agendado ningún punto vario se dio por desahogado y procedió con el siguiente punto del orden del día siendo la clausura.</w:t>
      </w:r>
      <w:r w:rsidRPr="00836E0D">
        <w:rPr>
          <w:rFonts w:ascii="Arial" w:hAnsi="Arial" w:cs="Arial"/>
        </w:rPr>
        <w:t xml:space="preserve"> </w:t>
      </w:r>
    </w:p>
    <w:p w:rsidR="000C70DB" w:rsidRPr="00836E0D" w:rsidRDefault="000C70DB" w:rsidP="000C70DB">
      <w:pPr>
        <w:jc w:val="both"/>
        <w:rPr>
          <w:rFonts w:ascii="Arial" w:hAnsi="Arial" w:cs="Arial"/>
        </w:rPr>
      </w:pPr>
    </w:p>
    <w:p w:rsidR="000C70DB" w:rsidRPr="00836E0D" w:rsidRDefault="000C70DB" w:rsidP="000C70DB">
      <w:pPr>
        <w:jc w:val="both"/>
        <w:rPr>
          <w:rFonts w:ascii="Arial" w:hAnsi="Arial" w:cs="Arial"/>
        </w:rPr>
      </w:pPr>
      <w:r w:rsidRPr="00836E0D">
        <w:rPr>
          <w:rFonts w:ascii="Arial" w:hAnsi="Arial" w:cs="Arial"/>
        </w:rPr>
        <w:t xml:space="preserve">Por lo anterior siendo las </w:t>
      </w:r>
      <w:r>
        <w:rPr>
          <w:rFonts w:ascii="Arial" w:hAnsi="Arial" w:cs="Arial"/>
        </w:rPr>
        <w:t>09:</w:t>
      </w:r>
      <w:r>
        <w:rPr>
          <w:rFonts w:ascii="Arial" w:hAnsi="Arial" w:cs="Arial"/>
        </w:rPr>
        <w:t>18</w:t>
      </w:r>
      <w:r w:rsidRPr="00836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nueve </w:t>
      </w:r>
      <w:r w:rsidRPr="00836E0D">
        <w:rPr>
          <w:rFonts w:ascii="Arial" w:hAnsi="Arial" w:cs="Arial"/>
        </w:rPr>
        <w:t xml:space="preserve">horas </w:t>
      </w:r>
      <w:r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dieciocho</w:t>
      </w:r>
      <w:r>
        <w:rPr>
          <w:rFonts w:ascii="Arial" w:hAnsi="Arial" w:cs="Arial"/>
        </w:rPr>
        <w:t xml:space="preserve"> </w:t>
      </w:r>
      <w:r w:rsidRPr="00836E0D">
        <w:rPr>
          <w:rFonts w:ascii="Arial" w:hAnsi="Arial" w:cs="Arial"/>
        </w:rPr>
        <w:t>minutos del día 1</w:t>
      </w:r>
      <w:r>
        <w:rPr>
          <w:rFonts w:ascii="Arial" w:hAnsi="Arial" w:cs="Arial"/>
        </w:rPr>
        <w:t>0 de diciembre del año 2024</w:t>
      </w:r>
      <w:r w:rsidRPr="00836E0D">
        <w:rPr>
          <w:rFonts w:ascii="Arial" w:hAnsi="Arial" w:cs="Arial"/>
        </w:rPr>
        <w:t xml:space="preserve"> la Presidenta de la Comisión Edilicia de Reglamentos y Gobernación dio por clausurados lo trabajos de esta Sesión </w:t>
      </w:r>
      <w:r>
        <w:rPr>
          <w:rFonts w:ascii="Arial" w:hAnsi="Arial" w:cs="Arial"/>
        </w:rPr>
        <w:t>O</w:t>
      </w:r>
      <w:r w:rsidRPr="00836E0D">
        <w:rPr>
          <w:rFonts w:ascii="Arial" w:hAnsi="Arial" w:cs="Arial"/>
        </w:rPr>
        <w:t xml:space="preserve">rdinaria No. </w:t>
      </w:r>
      <w:r>
        <w:rPr>
          <w:rFonts w:ascii="Arial" w:hAnsi="Arial" w:cs="Arial"/>
        </w:rPr>
        <w:t>3</w:t>
      </w:r>
      <w:r w:rsidRPr="00836E0D">
        <w:rPr>
          <w:rFonts w:ascii="Arial" w:hAnsi="Arial" w:cs="Arial"/>
        </w:rPr>
        <w:t xml:space="preserve"> de la Comisión Edilicia Permanente de </w:t>
      </w:r>
      <w:r>
        <w:rPr>
          <w:rFonts w:ascii="Arial" w:hAnsi="Arial" w:cs="Arial"/>
        </w:rPr>
        <w:t>Justicia</w:t>
      </w:r>
      <w:r w:rsidRPr="00836E0D">
        <w:rPr>
          <w:rFonts w:ascii="Arial" w:hAnsi="Arial" w:cs="Arial"/>
        </w:rPr>
        <w:t xml:space="preserve"> y validos los acuerdos que aquí se tomaron.</w:t>
      </w:r>
    </w:p>
    <w:p w:rsidR="000C70DB" w:rsidRPr="00836E0D" w:rsidRDefault="000C70DB" w:rsidP="000C70DB">
      <w:pPr>
        <w:jc w:val="both"/>
        <w:rPr>
          <w:rFonts w:ascii="Arial" w:hAnsi="Arial" w:cs="Arial"/>
        </w:rPr>
      </w:pPr>
    </w:p>
    <w:p w:rsidR="000C70DB" w:rsidRPr="00836E0D" w:rsidRDefault="000C70DB" w:rsidP="000C70D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36E0D">
        <w:rPr>
          <w:rFonts w:ascii="Arial" w:hAnsi="Arial" w:cs="Arial"/>
        </w:rPr>
        <w:t>Lo que se asienta en la presente acta para los efectos legales y administrativos que correspondan y firmando los que en ella intervienen.</w:t>
      </w:r>
    </w:p>
    <w:p w:rsidR="000C70DB" w:rsidRPr="00836E0D" w:rsidRDefault="000C70DB" w:rsidP="000C70D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2876EE" w:rsidRDefault="002876EE" w:rsidP="002876EE">
      <w:pPr>
        <w:pStyle w:val="Sinespaciado"/>
        <w:ind w:right="48"/>
        <w:jc w:val="center"/>
        <w:rPr>
          <w:rFonts w:cstheme="minorHAnsi"/>
          <w:b/>
          <w:lang w:val="es-MX"/>
        </w:rPr>
      </w:pPr>
    </w:p>
    <w:p w:rsidR="002876EE" w:rsidRPr="00436B3B" w:rsidRDefault="002876EE" w:rsidP="002876EE">
      <w:pPr>
        <w:pStyle w:val="Sinespaciado"/>
        <w:ind w:right="48"/>
        <w:jc w:val="center"/>
        <w:rPr>
          <w:rFonts w:cstheme="minorHAnsi"/>
          <w:b/>
          <w:lang w:val="es-MX"/>
        </w:rPr>
      </w:pPr>
    </w:p>
    <w:p w:rsidR="002876EE" w:rsidRPr="00436B3B" w:rsidRDefault="002876EE" w:rsidP="002876EE">
      <w:pPr>
        <w:pStyle w:val="Sinespaciado"/>
        <w:ind w:right="48"/>
        <w:jc w:val="center"/>
        <w:rPr>
          <w:rFonts w:cstheme="minorHAnsi"/>
          <w:b/>
          <w:lang w:val="es-MX"/>
        </w:rPr>
      </w:pPr>
    </w:p>
    <w:p w:rsidR="002876EE" w:rsidRPr="00436B3B" w:rsidRDefault="002876EE" w:rsidP="002876EE">
      <w:pPr>
        <w:pStyle w:val="Sinespaciado"/>
        <w:ind w:right="48"/>
        <w:jc w:val="center"/>
        <w:rPr>
          <w:rFonts w:cstheme="minorHAnsi"/>
          <w:b/>
          <w:lang w:val="es-MX"/>
        </w:rPr>
      </w:pPr>
      <w:r w:rsidRPr="00436B3B">
        <w:rPr>
          <w:rFonts w:cstheme="minorHAnsi"/>
          <w:b/>
          <w:lang w:val="es-MX"/>
        </w:rPr>
        <w:t>MTRA. CLAUDIA MARGARITA ROBLES GOMEZ</w:t>
      </w:r>
    </w:p>
    <w:p w:rsidR="002876EE" w:rsidRPr="00436B3B" w:rsidRDefault="002876EE" w:rsidP="002876EE">
      <w:pPr>
        <w:jc w:val="center"/>
        <w:rPr>
          <w:rFonts w:cstheme="minorHAnsi"/>
          <w:b/>
          <w:sz w:val="22"/>
          <w:szCs w:val="22"/>
        </w:rPr>
      </w:pPr>
      <w:r w:rsidRPr="00436B3B">
        <w:rPr>
          <w:rFonts w:cstheme="minorHAnsi"/>
          <w:b/>
          <w:sz w:val="22"/>
          <w:szCs w:val="22"/>
        </w:rPr>
        <w:t>PRESIDENTA DE LA COMISIÓN EDILICIA DE JUSTICIA</w:t>
      </w:r>
    </w:p>
    <w:p w:rsidR="002876EE" w:rsidRPr="00436B3B" w:rsidRDefault="002876EE" w:rsidP="002876EE">
      <w:pPr>
        <w:jc w:val="center"/>
        <w:rPr>
          <w:rFonts w:cstheme="minorHAnsi"/>
          <w:b/>
          <w:sz w:val="22"/>
          <w:szCs w:val="22"/>
        </w:rPr>
      </w:pPr>
      <w:r w:rsidRPr="00436B3B">
        <w:rPr>
          <w:rFonts w:cstheme="minorHAnsi"/>
          <w:b/>
          <w:sz w:val="22"/>
          <w:szCs w:val="22"/>
        </w:rPr>
        <w:t>Y SÍNDICA MUNICIPAL.</w:t>
      </w:r>
    </w:p>
    <w:p w:rsidR="002876EE" w:rsidRPr="00436B3B" w:rsidRDefault="002876EE" w:rsidP="002876EE">
      <w:pPr>
        <w:jc w:val="center"/>
        <w:rPr>
          <w:rFonts w:cstheme="minorHAnsi"/>
          <w:b/>
          <w:sz w:val="22"/>
          <w:szCs w:val="22"/>
        </w:rPr>
      </w:pPr>
    </w:p>
    <w:p w:rsidR="002876EE" w:rsidRPr="00436B3B" w:rsidRDefault="002876EE" w:rsidP="002876EE">
      <w:pPr>
        <w:jc w:val="center"/>
        <w:rPr>
          <w:rFonts w:cstheme="minorHAnsi"/>
          <w:b/>
          <w:sz w:val="22"/>
          <w:szCs w:val="22"/>
        </w:rPr>
      </w:pPr>
    </w:p>
    <w:p w:rsidR="002876EE" w:rsidRPr="00436B3B" w:rsidRDefault="002876EE" w:rsidP="002876EE">
      <w:pPr>
        <w:jc w:val="center"/>
        <w:rPr>
          <w:rFonts w:cstheme="minorHAnsi"/>
          <w:b/>
          <w:sz w:val="22"/>
          <w:szCs w:val="22"/>
        </w:rPr>
      </w:pPr>
    </w:p>
    <w:p w:rsidR="002876EE" w:rsidRPr="00436B3B" w:rsidRDefault="002876EE" w:rsidP="002876EE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2876EE" w:rsidRPr="00436B3B" w:rsidTr="002876EE">
        <w:tc>
          <w:tcPr>
            <w:tcW w:w="4815" w:type="dxa"/>
          </w:tcPr>
          <w:p w:rsidR="002876EE" w:rsidRPr="00436B3B" w:rsidRDefault="002876EE" w:rsidP="002876EE">
            <w:pPr>
              <w:jc w:val="center"/>
              <w:rPr>
                <w:rFonts w:cstheme="minorHAnsi"/>
                <w:b/>
              </w:rPr>
            </w:pPr>
            <w:r w:rsidRPr="00436B3B">
              <w:rPr>
                <w:rFonts w:cstheme="minorHAnsi"/>
                <w:b/>
              </w:rPr>
              <w:t xml:space="preserve">REGIDOR ERNESTO SÁNCHEZ </w:t>
            </w:r>
            <w:proofErr w:type="spellStart"/>
            <w:r w:rsidRPr="00436B3B">
              <w:rPr>
                <w:rFonts w:cstheme="minorHAnsi"/>
                <w:b/>
              </w:rPr>
              <w:t>SÁNCHEZ</w:t>
            </w:r>
            <w:proofErr w:type="spellEnd"/>
          </w:p>
        </w:tc>
        <w:tc>
          <w:tcPr>
            <w:tcW w:w="4819" w:type="dxa"/>
          </w:tcPr>
          <w:p w:rsidR="002876EE" w:rsidRPr="00436B3B" w:rsidRDefault="002876EE" w:rsidP="002876EE">
            <w:pPr>
              <w:jc w:val="center"/>
              <w:rPr>
                <w:rFonts w:cstheme="minorHAnsi"/>
                <w:b/>
              </w:rPr>
            </w:pPr>
            <w:r w:rsidRPr="00436B3B">
              <w:rPr>
                <w:rFonts w:cstheme="minorHAnsi"/>
                <w:b/>
              </w:rPr>
              <w:t>REGIDOR ADRIÁN BRISEÑO ESPARZA</w:t>
            </w:r>
          </w:p>
        </w:tc>
      </w:tr>
      <w:tr w:rsidR="002876EE" w:rsidRPr="00436B3B" w:rsidTr="002876EE">
        <w:tc>
          <w:tcPr>
            <w:tcW w:w="4815" w:type="dxa"/>
          </w:tcPr>
          <w:p w:rsidR="002876EE" w:rsidRPr="00436B3B" w:rsidRDefault="002876EE" w:rsidP="002876EE">
            <w:pPr>
              <w:jc w:val="center"/>
              <w:rPr>
                <w:rFonts w:cstheme="minorHAnsi"/>
                <w:b/>
              </w:rPr>
            </w:pPr>
            <w:r w:rsidRPr="00436B3B">
              <w:rPr>
                <w:rFonts w:cstheme="minorHAnsi"/>
                <w:b/>
              </w:rPr>
              <w:t>VOCAL DE LA COMISIÓN EDILICIA DE JUSTICIA</w:t>
            </w:r>
          </w:p>
        </w:tc>
        <w:tc>
          <w:tcPr>
            <w:tcW w:w="4819" w:type="dxa"/>
          </w:tcPr>
          <w:p w:rsidR="002876EE" w:rsidRPr="00436B3B" w:rsidRDefault="002876EE" w:rsidP="002876EE">
            <w:pPr>
              <w:jc w:val="center"/>
              <w:rPr>
                <w:rFonts w:cstheme="minorHAnsi"/>
                <w:b/>
              </w:rPr>
            </w:pPr>
            <w:r w:rsidRPr="00436B3B">
              <w:rPr>
                <w:rFonts w:cstheme="minorHAnsi"/>
                <w:b/>
              </w:rPr>
              <w:t>VOCAL DE LA COMISIÓN EDILICIA DE JUSTICIA</w:t>
            </w:r>
          </w:p>
        </w:tc>
      </w:tr>
    </w:tbl>
    <w:p w:rsidR="002876EE" w:rsidRDefault="002876EE" w:rsidP="002876EE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2876EE" w:rsidRPr="00436B3B" w:rsidRDefault="002876EE" w:rsidP="002876EE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2876EE" w:rsidRPr="000C70DB" w:rsidRDefault="002876EE" w:rsidP="002876E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C70DB">
        <w:rPr>
          <w:rFonts w:ascii="Arial" w:hAnsi="Arial" w:cs="Arial"/>
          <w:i/>
          <w:iCs/>
          <w:sz w:val="20"/>
          <w:szCs w:val="20"/>
        </w:rPr>
        <w:t xml:space="preserve">Links de la sesión publicadas en el sitio oficial del Gobierno de Zapotlán el Grande Jalisco. </w:t>
      </w:r>
    </w:p>
    <w:p w:rsidR="000C70DB" w:rsidRPr="000C70DB" w:rsidRDefault="000C70DB" w:rsidP="000C70DB">
      <w:pPr>
        <w:shd w:val="clear" w:color="auto" w:fill="FFFFFF"/>
        <w:rPr>
          <w:rFonts w:ascii="Arial" w:hAnsi="Arial" w:cs="Arial"/>
          <w:color w:val="222222"/>
          <w:kern w:val="0"/>
          <w:sz w:val="20"/>
          <w:szCs w:val="20"/>
          <w14:ligatures w14:val="none"/>
        </w:rPr>
      </w:pPr>
      <w:hyperlink r:id="rId6" w:tgtFrame="_blank" w:history="1">
        <w:r w:rsidRPr="000C70DB">
          <w:rPr>
            <w:rStyle w:val="Hipervnculo"/>
            <w:rFonts w:ascii="Arial" w:hAnsi="Arial" w:cs="Arial"/>
            <w:color w:val="1155CC"/>
            <w:sz w:val="20"/>
            <w:szCs w:val="20"/>
          </w:rPr>
          <w:t>https://www.youtube.com/watch?v=vLQfLR339TY</w:t>
        </w:r>
      </w:hyperlink>
    </w:p>
    <w:sectPr w:rsidR="000C70DB" w:rsidRPr="000C70DB" w:rsidSect="002876EE">
      <w:headerReference w:type="even" r:id="rId7"/>
      <w:headerReference w:type="default" r:id="rId8"/>
      <w:headerReference w:type="first" r:id="rId9"/>
      <w:pgSz w:w="12240" w:h="15840"/>
      <w:pgMar w:top="1843" w:right="1325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EE" w:rsidRDefault="002876E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Content>
      <w:p w:rsidR="002876EE" w:rsidRDefault="002876EE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A644CF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A644CF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</w:p>
    </w:sdtContent>
  </w:sdt>
  <w:p w:rsidR="002876EE" w:rsidRDefault="002876E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alt="" style="position:absolute;margin-left:-85.25pt;margin-top:-91.4pt;width:612.35pt;height:807.35pt;z-index:-251656192;mso-wrap-edited:f;mso-width-percent:0;mso-position-horizontal-relative:margin;mso-position-vertical-relative:margin;mso-width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EE" w:rsidRDefault="002876E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0B6"/>
    <w:multiLevelType w:val="hybridMultilevel"/>
    <w:tmpl w:val="D9E26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C6B28"/>
    <w:multiLevelType w:val="hybridMultilevel"/>
    <w:tmpl w:val="6C1ABB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B436D"/>
    <w:multiLevelType w:val="hybridMultilevel"/>
    <w:tmpl w:val="E92CE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7E06"/>
    <w:multiLevelType w:val="hybridMultilevel"/>
    <w:tmpl w:val="EC787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73"/>
    <w:rsid w:val="000218DB"/>
    <w:rsid w:val="000C70DB"/>
    <w:rsid w:val="002876EE"/>
    <w:rsid w:val="00502A73"/>
    <w:rsid w:val="00A644CF"/>
    <w:rsid w:val="00C94F48"/>
    <w:rsid w:val="00F7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23E304"/>
  <w15:chartTrackingRefBased/>
  <w15:docId w15:val="{10AAD5EB-2480-4240-9400-0C29FAE7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73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A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A73"/>
    <w:rPr>
      <w:kern w:val="2"/>
      <w:sz w:val="24"/>
      <w:szCs w:val="24"/>
      <w14:ligatures w14:val="standardContextual"/>
    </w:rPr>
  </w:style>
  <w:style w:type="paragraph" w:styleId="Sinespaciado">
    <w:name w:val="No Spacing"/>
    <w:link w:val="SinespaciadoCar"/>
    <w:uiPriority w:val="1"/>
    <w:qFormat/>
    <w:rsid w:val="00502A73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50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502A73"/>
    <w:rPr>
      <w:lang w:val="es-ES"/>
    </w:rPr>
  </w:style>
  <w:style w:type="paragraph" w:styleId="NormalWeb">
    <w:name w:val="Normal (Web)"/>
    <w:basedOn w:val="Normal"/>
    <w:uiPriority w:val="99"/>
    <w:unhideWhenUsed/>
    <w:rsid w:val="00502A73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502A73"/>
    <w:pPr>
      <w:ind w:left="720"/>
      <w:contextualSpacing/>
    </w:pPr>
  </w:style>
  <w:style w:type="character" w:customStyle="1" w:styleId="Ninguno">
    <w:name w:val="Ninguno"/>
    <w:rsid w:val="00502A73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2876EE"/>
    <w:rPr>
      <w:color w:val="0563C1" w:themeColor="hyperlink"/>
      <w:u w:val="single"/>
    </w:rPr>
  </w:style>
  <w:style w:type="character" w:customStyle="1" w:styleId="gmail-notranslate">
    <w:name w:val="gmail-notranslate"/>
    <w:basedOn w:val="Fuentedeprrafopredeter"/>
    <w:rsid w:val="000C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LQfLR339T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2255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dcterms:created xsi:type="dcterms:W3CDTF">2025-02-18T18:57:00Z</dcterms:created>
  <dcterms:modified xsi:type="dcterms:W3CDTF">2025-02-18T19:48:00Z</dcterms:modified>
</cp:coreProperties>
</file>