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6AC3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</w:p>
    <w:tbl>
      <w:tblPr>
        <w:tblStyle w:val="Tablaconcuadrcula"/>
        <w:tblpPr w:leftFromText="141" w:rightFromText="141" w:vertAnchor="text" w:horzAnchor="page" w:tblpX="6541" w:tblpY="172"/>
        <w:tblW w:w="0" w:type="auto"/>
        <w:tblLook w:val="04A0" w:firstRow="1" w:lastRow="0" w:firstColumn="1" w:lastColumn="0" w:noHBand="0" w:noVBand="1"/>
      </w:tblPr>
      <w:tblGrid>
        <w:gridCol w:w="2384"/>
        <w:gridCol w:w="2279"/>
      </w:tblGrid>
      <w:tr w:rsidR="00510E4C" w14:paraId="21DBC0AA" w14:textId="77777777" w:rsidTr="009228E7">
        <w:trPr>
          <w:trHeight w:val="287"/>
        </w:trPr>
        <w:tc>
          <w:tcPr>
            <w:tcW w:w="2384" w:type="dxa"/>
          </w:tcPr>
          <w:p w14:paraId="0B469282" w14:textId="77777777" w:rsidR="00510E4C" w:rsidRDefault="00510E4C" w:rsidP="009228E7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Dependencia </w:t>
            </w:r>
          </w:p>
        </w:tc>
        <w:tc>
          <w:tcPr>
            <w:tcW w:w="2279" w:type="dxa"/>
          </w:tcPr>
          <w:p w14:paraId="2D6F4CA2" w14:textId="77777777" w:rsidR="00510E4C" w:rsidRDefault="00510E4C" w:rsidP="009228E7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Sala de regidores</w:t>
            </w:r>
          </w:p>
        </w:tc>
      </w:tr>
      <w:tr w:rsidR="00510E4C" w14:paraId="2B91CDCE" w14:textId="77777777" w:rsidTr="009228E7">
        <w:trPr>
          <w:trHeight w:val="287"/>
        </w:trPr>
        <w:tc>
          <w:tcPr>
            <w:tcW w:w="2384" w:type="dxa"/>
          </w:tcPr>
          <w:p w14:paraId="067AFD1F" w14:textId="77777777" w:rsidR="00510E4C" w:rsidRDefault="00510E4C" w:rsidP="009228E7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Oficio Numero </w:t>
            </w:r>
          </w:p>
        </w:tc>
        <w:tc>
          <w:tcPr>
            <w:tcW w:w="2279" w:type="dxa"/>
          </w:tcPr>
          <w:p w14:paraId="374D4D0D" w14:textId="581FD4E7" w:rsidR="00510E4C" w:rsidRDefault="00BD612B" w:rsidP="009228E7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0310</w:t>
            </w:r>
            <w:r w:rsidR="00510E4C">
              <w:rPr>
                <w:rFonts w:ascii="Arial" w:eastAsia="Times New Roman" w:hAnsi="Arial" w:cs="Arial"/>
                <w:b/>
              </w:rPr>
              <w:t>/2025</w:t>
            </w:r>
            <w:bookmarkStart w:id="0" w:name="_GoBack"/>
            <w:bookmarkEnd w:id="0"/>
          </w:p>
        </w:tc>
      </w:tr>
      <w:tr w:rsidR="00510E4C" w14:paraId="12D90DB8" w14:textId="77777777" w:rsidTr="009228E7">
        <w:trPr>
          <w:trHeight w:val="287"/>
        </w:trPr>
        <w:tc>
          <w:tcPr>
            <w:tcW w:w="2384" w:type="dxa"/>
          </w:tcPr>
          <w:p w14:paraId="139128C3" w14:textId="77777777" w:rsidR="00510E4C" w:rsidRDefault="00510E4C" w:rsidP="009228E7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Asunto </w:t>
            </w:r>
          </w:p>
        </w:tc>
        <w:tc>
          <w:tcPr>
            <w:tcW w:w="2279" w:type="dxa"/>
          </w:tcPr>
          <w:p w14:paraId="42D57AE9" w14:textId="77777777" w:rsidR="00510E4C" w:rsidRDefault="00510E4C" w:rsidP="009228E7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Envió informe </w:t>
            </w:r>
          </w:p>
        </w:tc>
      </w:tr>
    </w:tbl>
    <w:p w14:paraId="2BF013DA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</w:p>
    <w:p w14:paraId="34365B07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</w:p>
    <w:p w14:paraId="244EE44D" w14:textId="77777777" w:rsidR="00510E4C" w:rsidRDefault="00510E4C" w:rsidP="00510E4C">
      <w:pPr>
        <w:jc w:val="both"/>
        <w:rPr>
          <w:rFonts w:ascii="Arial" w:eastAsia="Times New Roman" w:hAnsi="Arial" w:cs="Arial"/>
          <w:b/>
        </w:rPr>
      </w:pPr>
    </w:p>
    <w:p w14:paraId="01991FC4" w14:textId="77777777" w:rsidR="00510E4C" w:rsidRDefault="00510E4C" w:rsidP="00510E4C">
      <w:pPr>
        <w:jc w:val="both"/>
        <w:rPr>
          <w:rFonts w:ascii="Arial" w:eastAsia="Times New Roman" w:hAnsi="Arial" w:cs="Arial"/>
          <w:b/>
        </w:rPr>
      </w:pPr>
    </w:p>
    <w:p w14:paraId="233B2849" w14:textId="77777777" w:rsidR="00510E4C" w:rsidRDefault="00510E4C" w:rsidP="00510E4C">
      <w:pPr>
        <w:jc w:val="both"/>
        <w:rPr>
          <w:rFonts w:ascii="Arial" w:eastAsia="Times New Roman" w:hAnsi="Arial" w:cs="Arial"/>
          <w:b/>
        </w:rPr>
      </w:pPr>
    </w:p>
    <w:p w14:paraId="2F854D0A" w14:textId="77777777" w:rsidR="00510E4C" w:rsidRPr="008660B2" w:rsidRDefault="00510E4C" w:rsidP="00510E4C">
      <w:pPr>
        <w:jc w:val="both"/>
        <w:rPr>
          <w:rFonts w:ascii="Arial" w:eastAsia="Times New Roman" w:hAnsi="Arial" w:cs="Arial"/>
          <w:b/>
        </w:rPr>
      </w:pPr>
      <w:r w:rsidRPr="008660B2">
        <w:rPr>
          <w:rFonts w:ascii="Arial" w:eastAsia="Times New Roman" w:hAnsi="Arial" w:cs="Arial"/>
          <w:b/>
        </w:rPr>
        <w:t>LIC. FRANCISCO FROYLAN CANDELARIO MORALES.</w:t>
      </w:r>
    </w:p>
    <w:p w14:paraId="27E94E47" w14:textId="77777777" w:rsidR="00510E4C" w:rsidRDefault="00510E4C" w:rsidP="00510E4C">
      <w:pPr>
        <w:jc w:val="both"/>
        <w:rPr>
          <w:rFonts w:ascii="Arial" w:eastAsia="Times New Roman" w:hAnsi="Arial" w:cs="Arial"/>
          <w:b/>
        </w:rPr>
      </w:pPr>
      <w:r w:rsidRPr="008660B2">
        <w:rPr>
          <w:rFonts w:ascii="Arial" w:eastAsia="Times New Roman" w:hAnsi="Arial" w:cs="Arial"/>
          <w:b/>
        </w:rPr>
        <w:t xml:space="preserve">DIRECTOR DE LA UNIDAD DE TRANSPARENCIA, </w:t>
      </w:r>
      <w:r>
        <w:rPr>
          <w:rFonts w:ascii="Arial" w:eastAsia="Times New Roman" w:hAnsi="Arial" w:cs="Arial"/>
          <w:b/>
        </w:rPr>
        <w:t>ACCESO</w:t>
      </w:r>
    </w:p>
    <w:p w14:paraId="3C6CC4DF" w14:textId="77777777" w:rsidR="00510E4C" w:rsidRDefault="00510E4C" w:rsidP="00510E4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 LA INFORMACIÓN </w:t>
      </w:r>
      <w:r w:rsidRPr="008660B2">
        <w:rPr>
          <w:rFonts w:ascii="Arial" w:eastAsia="Times New Roman" w:hAnsi="Arial" w:cs="Arial"/>
          <w:b/>
        </w:rPr>
        <w:t>PÚBLICA Y PROTECCIÓN</w:t>
      </w:r>
      <w:r>
        <w:rPr>
          <w:rFonts w:ascii="Arial" w:eastAsia="Times New Roman" w:hAnsi="Arial" w:cs="Arial"/>
          <w:b/>
        </w:rPr>
        <w:t xml:space="preserve"> </w:t>
      </w:r>
      <w:r w:rsidRPr="008660B2">
        <w:rPr>
          <w:rFonts w:ascii="Arial" w:eastAsia="Times New Roman" w:hAnsi="Arial" w:cs="Arial"/>
          <w:b/>
        </w:rPr>
        <w:t>DE DATOS</w:t>
      </w:r>
    </w:p>
    <w:p w14:paraId="33C97900" w14:textId="77777777" w:rsidR="00510E4C" w:rsidRPr="008660B2" w:rsidRDefault="00510E4C" w:rsidP="00510E4C">
      <w:pPr>
        <w:jc w:val="both"/>
        <w:rPr>
          <w:rFonts w:ascii="Arial" w:eastAsia="Times New Roman" w:hAnsi="Arial" w:cs="Arial"/>
          <w:b/>
        </w:rPr>
      </w:pPr>
      <w:r w:rsidRPr="008660B2">
        <w:rPr>
          <w:rFonts w:ascii="Arial" w:eastAsia="Times New Roman" w:hAnsi="Arial" w:cs="Arial"/>
          <w:b/>
        </w:rPr>
        <w:t>PERSONALES</w:t>
      </w:r>
    </w:p>
    <w:p w14:paraId="5333D49C" w14:textId="77777777" w:rsidR="00510E4C" w:rsidRPr="008660B2" w:rsidRDefault="00510E4C" w:rsidP="00510E4C">
      <w:pPr>
        <w:jc w:val="both"/>
        <w:rPr>
          <w:rFonts w:ascii="Arial" w:eastAsia="Times New Roman" w:hAnsi="Arial" w:cs="Arial"/>
          <w:b/>
        </w:rPr>
      </w:pPr>
      <w:r w:rsidRPr="008660B2">
        <w:rPr>
          <w:rFonts w:ascii="Arial" w:eastAsia="Times New Roman" w:hAnsi="Arial" w:cs="Arial"/>
          <w:b/>
        </w:rPr>
        <w:t>P R E S E N T E</w:t>
      </w:r>
    </w:p>
    <w:p w14:paraId="067035D3" w14:textId="77777777" w:rsidR="00510E4C" w:rsidRPr="00FC1BD7" w:rsidRDefault="00510E4C" w:rsidP="00510E4C">
      <w:pPr>
        <w:jc w:val="both"/>
        <w:rPr>
          <w:rFonts w:ascii="Arial" w:eastAsia="Times New Roman" w:hAnsi="Arial" w:cs="Arial"/>
          <w:b/>
        </w:rPr>
      </w:pPr>
    </w:p>
    <w:p w14:paraId="19CD8844" w14:textId="431BF7F8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</w:t>
      </w:r>
      <w:r w:rsidRPr="008660B2">
        <w:rPr>
          <w:rFonts w:ascii="Arial" w:eastAsia="Times New Roman" w:hAnsi="Arial" w:cs="Arial"/>
        </w:rPr>
        <w:t xml:space="preserve"> que suscribe en mi calidad de Pre</w:t>
      </w:r>
      <w:r>
        <w:rPr>
          <w:rFonts w:ascii="Arial" w:eastAsia="Times New Roman" w:hAnsi="Arial" w:cs="Arial"/>
        </w:rPr>
        <w:t>sidenta</w:t>
      </w:r>
      <w:r w:rsidRPr="008660B2">
        <w:rPr>
          <w:rFonts w:ascii="Arial" w:eastAsia="Times New Roman" w:hAnsi="Arial" w:cs="Arial"/>
        </w:rPr>
        <w:t xml:space="preserve"> de la COMISIÓN EDILICIA </w:t>
      </w:r>
      <w:r>
        <w:rPr>
          <w:rFonts w:ascii="Arial" w:eastAsia="Times New Roman" w:hAnsi="Arial" w:cs="Arial"/>
        </w:rPr>
        <w:t xml:space="preserve">PERMANENTE DE MERCADOS Y CENTRALES DE ABASTO </w:t>
      </w:r>
      <w:r w:rsidRPr="008660B2">
        <w:rPr>
          <w:rFonts w:ascii="Arial" w:eastAsia="Times New Roman" w:hAnsi="Arial" w:cs="Arial"/>
        </w:rPr>
        <w:t>del Honorable Ayuntamiento Constitucional de Zapotlán el Grande, Jalisco, en vía de cumplimiento comparezco a entregar la información fundamental que señala el artículo 8 fracción VI incisos i), j), 15 fracciones II, IV, VII, VIII, VIX, Y XXIV de la Ley de Transparencia y Acceso a la Información Pública del Estado de Ja</w:t>
      </w:r>
      <w:r>
        <w:rPr>
          <w:rFonts w:ascii="Arial" w:eastAsia="Times New Roman" w:hAnsi="Arial" w:cs="Arial"/>
        </w:rPr>
        <w:t>lisc</w:t>
      </w:r>
      <w:r w:rsidR="00DA5696">
        <w:rPr>
          <w:rFonts w:ascii="Arial" w:eastAsia="Times New Roman" w:hAnsi="Arial" w:cs="Arial"/>
        </w:rPr>
        <w:t>o, respecto del mes de febrero</w:t>
      </w:r>
      <w:r w:rsidR="00F54EA9">
        <w:rPr>
          <w:rFonts w:ascii="Arial" w:eastAsia="Times New Roman" w:hAnsi="Arial" w:cs="Arial"/>
        </w:rPr>
        <w:t xml:space="preserve"> de 2025</w:t>
      </w:r>
      <w:r w:rsidRPr="008660B2">
        <w:rPr>
          <w:rFonts w:ascii="Arial" w:eastAsia="Times New Roman" w:hAnsi="Arial" w:cs="Arial"/>
        </w:rPr>
        <w:t>, al efecto le informo la siguiente:</w:t>
      </w:r>
    </w:p>
    <w:p w14:paraId="7CF15D69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529974A3" w14:textId="77777777" w:rsidR="00510E4C" w:rsidRPr="008660B2" w:rsidRDefault="00510E4C" w:rsidP="00510E4C">
      <w:pPr>
        <w:jc w:val="both"/>
        <w:rPr>
          <w:rFonts w:ascii="Arial" w:eastAsia="Times New Roman" w:hAnsi="Arial" w:cs="Arial"/>
          <w:b/>
        </w:rPr>
      </w:pPr>
      <w:r w:rsidRPr="008660B2">
        <w:rPr>
          <w:rFonts w:ascii="Arial" w:eastAsia="Times New Roman" w:hAnsi="Arial" w:cs="Arial"/>
          <w:b/>
        </w:rPr>
        <w:t>EXPOSICIÓN DE MOTIVOS:</w:t>
      </w:r>
    </w:p>
    <w:p w14:paraId="641C75D7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32E1B723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I. Que de conformidad a lo dispuesto por el artículo 6 de la Constitución Política de los Estados Unidos Mexicanos, es obligación del Municipio la publicación de la información fundamental generando los instrumentos tecnológicos de fácil acceso.</w:t>
      </w:r>
    </w:p>
    <w:p w14:paraId="183B8120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3DD56013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II. Por su parte la Ley de Transparencia y acceso a la información pública del Estado de Jalisco, señala como objeto de la misma el reconocimiento del derecho a la información como un derecho humano y fundamental, comprendiendo la libertad de solicitar, investigar, difundir, buscar y recibir información.</w:t>
      </w:r>
    </w:p>
    <w:p w14:paraId="3DD37C43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7552FB7D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III. El artículo 3 fracción I punto 2 de la Ley antes mencionada, señala que la información pública fundamental, es la información de libre acceso que debe publicarse y difundirse de manera universal, permanente, actualizada y, en el caso de la información electrónica, a través de formatos abiertos y accesibles para el ciudadano, por ministerio de Ley, sin que se requiera solicitud de parte interesada.</w:t>
      </w:r>
    </w:p>
    <w:p w14:paraId="0B86F2DC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531F8C8E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1048F9">
        <w:rPr>
          <w:rFonts w:ascii="Arial" w:eastAsia="Times New Roman" w:hAnsi="Arial" w:cs="Arial"/>
        </w:rPr>
        <w:t>A su vez el artículo 8, clasifica la información fundamental general, entre las cuáles se encuentra la contemplada en su fracción VI denominada “La información sobre la gestión pública”, que comprende:</w:t>
      </w:r>
    </w:p>
    <w:p w14:paraId="7C600AFC" w14:textId="77777777" w:rsidR="00510E4C" w:rsidRPr="001048F9" w:rsidRDefault="00510E4C" w:rsidP="00510E4C">
      <w:pPr>
        <w:jc w:val="both"/>
        <w:rPr>
          <w:rFonts w:ascii="Arial" w:eastAsia="Times New Roman" w:hAnsi="Arial" w:cs="Arial"/>
        </w:rPr>
      </w:pPr>
    </w:p>
    <w:p w14:paraId="0B9258DD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a) …</w:t>
      </w:r>
    </w:p>
    <w:p w14:paraId="0867DEBF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b) …</w:t>
      </w:r>
    </w:p>
    <w:p w14:paraId="13D8EB4E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c)…</w:t>
      </w:r>
    </w:p>
    <w:p w14:paraId="03C7BF5E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d)…</w:t>
      </w:r>
    </w:p>
    <w:p w14:paraId="21053D2F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e) ...</w:t>
      </w:r>
    </w:p>
    <w:p w14:paraId="61090B37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f) …</w:t>
      </w:r>
    </w:p>
    <w:p w14:paraId="33002056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lastRenderedPageBreak/>
        <w:t>g) ...</w:t>
      </w:r>
    </w:p>
    <w:p w14:paraId="26E5578A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h) …</w:t>
      </w:r>
    </w:p>
    <w:p w14:paraId="475C09DF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i) El lugar, día y hora de todas las reuniones o sesiones de sus órganos colegiados, junto con el orden del día y una relación detallada de los asuntos a tratar, así como la indicación del lugar y forma en que se pueden consultar los documentos públicos relativos, con cuando menos veinticuatro horas anteriores a la celebración de dicha reunión o sesión.</w:t>
      </w:r>
    </w:p>
    <w:p w14:paraId="30F38774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j) Las versiones estenográficas, así como las actas o minutas de las reuniones o sesiones de sus órganos colegiados;</w:t>
      </w:r>
    </w:p>
    <w:p w14:paraId="09A04602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k) …</w:t>
      </w:r>
    </w:p>
    <w:p w14:paraId="64AA7E89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l) Los informes trimestrales y anuales de actividades del sujeto obligado, de cuando menos los últimos tres años:</w:t>
      </w:r>
    </w:p>
    <w:p w14:paraId="7BC5365E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m)…</w:t>
      </w:r>
    </w:p>
    <w:p w14:paraId="57C3A3DE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n) ...</w:t>
      </w:r>
    </w:p>
    <w:p w14:paraId="07724EE6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47497976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1048F9">
        <w:rPr>
          <w:rFonts w:ascii="Arial" w:eastAsia="Times New Roman" w:hAnsi="Arial" w:cs="Arial"/>
        </w:rPr>
        <w:t>IV. A su vez el artículo 15 de la misma Ley, establece como información fundamental para los ayuntamientos los siguientes:</w:t>
      </w:r>
    </w:p>
    <w:p w14:paraId="68C58EA3" w14:textId="77777777" w:rsidR="00510E4C" w:rsidRPr="001048F9" w:rsidRDefault="00510E4C" w:rsidP="00510E4C">
      <w:pPr>
        <w:jc w:val="both"/>
        <w:rPr>
          <w:rFonts w:ascii="Arial" w:eastAsia="Times New Roman" w:hAnsi="Arial" w:cs="Arial"/>
        </w:rPr>
      </w:pPr>
    </w:p>
    <w:p w14:paraId="7DFDFD32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I)…</w:t>
      </w:r>
    </w:p>
    <w:p w14:paraId="13E75C48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II) La integración del Ayuntamiento, las comisiones edilicias y demás órganos que establezca su organigrama.</w:t>
      </w:r>
    </w:p>
    <w:p w14:paraId="2DCBE609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III)…</w:t>
      </w:r>
    </w:p>
    <w:p w14:paraId="0244C3BC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IV) Las iniciativas presentadas y las exposiciones de motivos de los reglamentos vigentes en el Municipio;</w:t>
      </w:r>
    </w:p>
    <w:p w14:paraId="2315BC52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V)…</w:t>
      </w:r>
    </w:p>
    <w:p w14:paraId="13E65209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VI)…</w:t>
      </w:r>
    </w:p>
    <w:p w14:paraId="05E5EF40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VII) Los programas de trabajo de las Comisiones Edilicias;</w:t>
      </w:r>
    </w:p>
    <w:p w14:paraId="611824C4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VIII. El orden del día de las sesiones del Ayuntamiento, de las comisiones edilicias y de los Consejos Ciudadanos Municipales con excepción de las reservadas;</w:t>
      </w:r>
    </w:p>
    <w:p w14:paraId="76476E15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IX) El libro de actas de las sesiones del ayuntamiento, las actas de las comisiones edilicias, así como las actas de los Consejos Ciudadanos Municipales, con excepción de las reservadas.</w:t>
      </w:r>
    </w:p>
    <w:p w14:paraId="2D5717A3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X…</w:t>
      </w:r>
    </w:p>
    <w:p w14:paraId="0132935F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XI…</w:t>
      </w:r>
    </w:p>
    <w:p w14:paraId="0C4C5E1C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XII…</w:t>
      </w:r>
    </w:p>
    <w:p w14:paraId="68C30D4C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XIII…</w:t>
      </w:r>
    </w:p>
    <w:p w14:paraId="1DE1F9A3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XIV…</w:t>
      </w:r>
    </w:p>
    <w:p w14:paraId="013295EB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XV…</w:t>
      </w:r>
    </w:p>
    <w:p w14:paraId="0CAE1897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XVI…</w:t>
      </w:r>
    </w:p>
    <w:p w14:paraId="0DF1FF86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XVII…</w:t>
      </w:r>
    </w:p>
    <w:p w14:paraId="17E46C2B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XVIII…</w:t>
      </w:r>
    </w:p>
    <w:p w14:paraId="31167D75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XIX…</w:t>
      </w:r>
    </w:p>
    <w:p w14:paraId="46D7CCCE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XX…</w:t>
      </w:r>
    </w:p>
    <w:p w14:paraId="5FD8CE1E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XXI…</w:t>
      </w:r>
    </w:p>
    <w:p w14:paraId="1B683DCD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XXII…</w:t>
      </w:r>
    </w:p>
    <w:p w14:paraId="0917A057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XXIII…</w:t>
      </w:r>
    </w:p>
    <w:p w14:paraId="6A6EEC4A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XXIV. La estadística de asistencia y registro de votación de las sesiones del ayuntamiento, de las comisiones edilicias y de los consejos ciudadanos municipales, que contenga el nombre de los regidores y funcionarios que participan, el sentido del voto y, en su caso, los votos particulares;</w:t>
      </w:r>
    </w:p>
    <w:p w14:paraId="3C6BC60C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XXV…</w:t>
      </w:r>
    </w:p>
    <w:p w14:paraId="0D999B2C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XXVI…</w:t>
      </w:r>
    </w:p>
    <w:p w14:paraId="58E28E2C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067507C1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52B71B74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55A50EA6" w14:textId="77777777" w:rsidR="00510E4C" w:rsidRPr="00BE22BB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382FEA85" w14:textId="77777777" w:rsidR="00510E4C" w:rsidRPr="0030080D" w:rsidRDefault="00510E4C" w:rsidP="00510E4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V. </w:t>
      </w:r>
      <w:r w:rsidRPr="0030080D">
        <w:rPr>
          <w:rFonts w:ascii="Arial" w:eastAsia="Times New Roman" w:hAnsi="Arial" w:cs="Arial"/>
        </w:rPr>
        <w:t>En relación a lo anterior y conforme lo dispone el artículo 27 de la Ley del Gobierno y la Administración Pública Municipal del Estado de Jalisco, el Ayuntamiento para el estudio, vigilancia y atención de los diversos asuntos que corresponda conocer, deberán funcionar mediante comisiones de la siguiente forma:</w:t>
      </w:r>
    </w:p>
    <w:p w14:paraId="2144BF98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14:paraId="6576E470" w14:textId="77777777" w:rsidR="00510E4C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 xml:space="preserve">Los ediles deberán presidir por lo menos una comisión, </w:t>
      </w:r>
      <w:r>
        <w:rPr>
          <w:rFonts w:ascii="Arial" w:eastAsia="Times New Roman" w:hAnsi="Arial" w:cs="Arial"/>
          <w:sz w:val="20"/>
          <w:szCs w:val="20"/>
        </w:rPr>
        <w:t xml:space="preserve">además cada munícipe debe estar integrado </w:t>
      </w:r>
      <w:r w:rsidRPr="00BE22BB">
        <w:rPr>
          <w:rFonts w:ascii="Arial" w:eastAsia="Times New Roman" w:hAnsi="Arial" w:cs="Arial"/>
          <w:sz w:val="20"/>
          <w:szCs w:val="20"/>
        </w:rPr>
        <w:t>por lo menos a tres comisiones, en los términos de la reglamentación respectiva.</w:t>
      </w:r>
    </w:p>
    <w:p w14:paraId="1D267BB3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14:paraId="686441CA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La denominación de las comisiones, sus características, obligaciones y facultades, deben ser establecidas en los reglamentos que para tal efecto expida el Ayuntamiento.</w:t>
      </w:r>
    </w:p>
    <w:p w14:paraId="693CD253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14:paraId="5D5DA23A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Las comisiones pueden ser permanentes o transitorias, con integración colegiada para su funcionamiento y desempeño, integradas cuando menos por tres ediles y bajo ninguna circunstancia pueden tener facultades ejecutivas.</w:t>
      </w:r>
    </w:p>
    <w:p w14:paraId="6C25705F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14:paraId="7354DC87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En los casos en que la integración de las Comisiones sea número par, el edil presidente tendrá voto de calidad.</w:t>
      </w:r>
    </w:p>
    <w:p w14:paraId="199D162A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14:paraId="3A680B1F" w14:textId="77777777" w:rsidR="00510E4C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Las Comisiones sesionarán cuando menos una vez por mes y serán reuniones públicas por regla general, salvo que sus integrantes decidan, por causas justificadas y de conformidad con sus disposiciones reglamentarias aplicables, que se celebren de forma reservada.</w:t>
      </w:r>
    </w:p>
    <w:p w14:paraId="447F7123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14:paraId="6824337D" w14:textId="77777777" w:rsidR="00510E4C" w:rsidRPr="00BE22BB" w:rsidRDefault="00510E4C" w:rsidP="00510E4C">
      <w:pPr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BE22BB">
        <w:rPr>
          <w:rFonts w:ascii="Arial" w:eastAsia="Times New Roman" w:hAnsi="Arial" w:cs="Arial"/>
          <w:sz w:val="20"/>
          <w:szCs w:val="20"/>
        </w:rPr>
        <w:t>Cada comisión deberá mantener actualizada la reglamentación correspondiente a su ramo, para tal efecto presentará con oportunidad al pleno las actualizaciones correspondientes para su aprobación.</w:t>
      </w:r>
    </w:p>
    <w:p w14:paraId="4FD83234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340ACF08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VI. </w:t>
      </w:r>
      <w:r w:rsidRPr="008660B2">
        <w:rPr>
          <w:rFonts w:ascii="Arial" w:eastAsia="Times New Roman" w:hAnsi="Arial" w:cs="Arial"/>
        </w:rPr>
        <w:t>Los Ayuntamientos establecen en sus respectivos reglamento</w:t>
      </w:r>
      <w:r>
        <w:rPr>
          <w:rFonts w:ascii="Arial" w:eastAsia="Times New Roman" w:hAnsi="Arial" w:cs="Arial"/>
        </w:rPr>
        <w:t>s el plazo en que cada comisión edilicia debe dar cue</w:t>
      </w:r>
      <w:r w:rsidRPr="008660B2">
        <w:rPr>
          <w:rFonts w:ascii="Arial" w:eastAsia="Times New Roman" w:hAnsi="Arial" w:cs="Arial"/>
        </w:rPr>
        <w:t>nta de los asuntos que le sean turnados. A falta de</w:t>
      </w:r>
      <w:r>
        <w:rPr>
          <w:rFonts w:ascii="Arial" w:eastAsia="Times New Roman" w:hAnsi="Arial" w:cs="Arial"/>
        </w:rPr>
        <w:t xml:space="preserve"> disposición reglamentaria, los </w:t>
      </w:r>
      <w:r w:rsidRPr="008660B2">
        <w:rPr>
          <w:rFonts w:ascii="Arial" w:eastAsia="Times New Roman" w:hAnsi="Arial" w:cs="Arial"/>
        </w:rPr>
        <w:t xml:space="preserve">asuntos deben dictaminarse en un plazo no mayor a cuarenta y cinco días </w:t>
      </w:r>
      <w:r>
        <w:rPr>
          <w:rFonts w:ascii="Arial" w:eastAsia="Times New Roman" w:hAnsi="Arial" w:cs="Arial"/>
        </w:rPr>
        <w:t xml:space="preserve">naturales contados a partir del </w:t>
      </w:r>
      <w:r w:rsidRPr="008660B2">
        <w:rPr>
          <w:rFonts w:ascii="Arial" w:eastAsia="Times New Roman" w:hAnsi="Arial" w:cs="Arial"/>
        </w:rPr>
        <w:t>día posterior a que le sean turnados, mismos que pueden ser pro</w:t>
      </w:r>
      <w:r>
        <w:rPr>
          <w:rFonts w:ascii="Arial" w:eastAsia="Times New Roman" w:hAnsi="Arial" w:cs="Arial"/>
        </w:rPr>
        <w:t xml:space="preserve">rrogables en los términos de la </w:t>
      </w:r>
      <w:r w:rsidRPr="008660B2">
        <w:rPr>
          <w:rFonts w:ascii="Arial" w:eastAsia="Times New Roman" w:hAnsi="Arial" w:cs="Arial"/>
        </w:rPr>
        <w:t>reglamentación municipal.</w:t>
      </w:r>
    </w:p>
    <w:p w14:paraId="1DB52D17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4A8F9443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VII. </w:t>
      </w:r>
      <w:r w:rsidRPr="008660B2">
        <w:rPr>
          <w:rFonts w:ascii="Arial" w:eastAsia="Times New Roman" w:hAnsi="Arial" w:cs="Arial"/>
        </w:rPr>
        <w:t>Con base a lo anterior, el Reglamento Interior del Ayun</w:t>
      </w:r>
      <w:r>
        <w:rPr>
          <w:rFonts w:ascii="Arial" w:eastAsia="Times New Roman" w:hAnsi="Arial" w:cs="Arial"/>
        </w:rPr>
        <w:t xml:space="preserve">tamiento de Zapotlán El Grande, </w:t>
      </w:r>
      <w:r w:rsidRPr="008660B2">
        <w:rPr>
          <w:rFonts w:ascii="Arial" w:eastAsia="Times New Roman" w:hAnsi="Arial" w:cs="Arial"/>
        </w:rPr>
        <w:t>Jalisco, publicado en la gaceta Municipal de Zapotlán, estable</w:t>
      </w:r>
      <w:r>
        <w:rPr>
          <w:rFonts w:ascii="Arial" w:eastAsia="Times New Roman" w:hAnsi="Arial" w:cs="Arial"/>
        </w:rPr>
        <w:t xml:space="preserve">ce en su artículo 42 que la suscrita </w:t>
      </w:r>
      <w:r w:rsidRPr="008660B2">
        <w:rPr>
          <w:rFonts w:ascii="Arial" w:eastAsia="Times New Roman" w:hAnsi="Arial" w:cs="Arial"/>
        </w:rPr>
        <w:t>soy Regidor</w:t>
      </w:r>
      <w:r>
        <w:rPr>
          <w:rFonts w:ascii="Arial" w:eastAsia="Times New Roman" w:hAnsi="Arial" w:cs="Arial"/>
        </w:rPr>
        <w:t>a Presidenta</w:t>
      </w:r>
      <w:r w:rsidRPr="008660B2">
        <w:rPr>
          <w:rFonts w:ascii="Arial" w:eastAsia="Times New Roman" w:hAnsi="Arial" w:cs="Arial"/>
        </w:rPr>
        <w:t xml:space="preserve"> de la </w:t>
      </w:r>
      <w:r>
        <w:rPr>
          <w:rFonts w:ascii="Arial" w:eastAsia="Times New Roman" w:hAnsi="Arial" w:cs="Arial"/>
        </w:rPr>
        <w:t>COMISIÓN EDILICIA PERMANENTE DE</w:t>
      </w:r>
      <w:r w:rsidRPr="00E1231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MERCADOS Y CENTRALES DE ABASTO</w:t>
      </w:r>
      <w:r w:rsidRPr="008660B2">
        <w:rPr>
          <w:rFonts w:ascii="Arial" w:eastAsia="Times New Roman" w:hAnsi="Arial" w:cs="Arial"/>
        </w:rPr>
        <w:t>. En razón de lo anterior e</w:t>
      </w:r>
      <w:r>
        <w:rPr>
          <w:rFonts w:ascii="Arial" w:eastAsia="Times New Roman" w:hAnsi="Arial" w:cs="Arial"/>
        </w:rPr>
        <w:t>n Sesión Pública de fecha 01 de octubre del año 2024</w:t>
      </w:r>
      <w:r w:rsidRPr="008660B2">
        <w:rPr>
          <w:rFonts w:ascii="Arial" w:eastAsia="Times New Roman" w:hAnsi="Arial" w:cs="Arial"/>
        </w:rPr>
        <w:t>, el Ayuntamiento aprobó la integra</w:t>
      </w:r>
      <w:r>
        <w:rPr>
          <w:rFonts w:ascii="Arial" w:eastAsia="Times New Roman" w:hAnsi="Arial" w:cs="Arial"/>
        </w:rPr>
        <w:t>ción de la Comisión Edilicia de Mercados y Centrales de Abasto,</w:t>
      </w:r>
      <w:r w:rsidRPr="008660B2">
        <w:rPr>
          <w:rFonts w:ascii="Arial" w:eastAsia="Times New Roman" w:hAnsi="Arial" w:cs="Arial"/>
        </w:rPr>
        <w:t xml:space="preserve"> por consecuencia al asumir dicha función, genera la obligación</w:t>
      </w:r>
      <w:r>
        <w:rPr>
          <w:rFonts w:ascii="Arial" w:eastAsia="Times New Roman" w:hAnsi="Arial" w:cs="Arial"/>
        </w:rPr>
        <w:t xml:space="preserve"> </w:t>
      </w:r>
      <w:r w:rsidRPr="008660B2">
        <w:rPr>
          <w:rFonts w:ascii="Arial" w:eastAsia="Times New Roman" w:hAnsi="Arial" w:cs="Arial"/>
        </w:rPr>
        <w:t>señalada en los artículos 40 al 48 punto del Reglamento Interior del Ayuntamiento de</w:t>
      </w:r>
    </w:p>
    <w:p w14:paraId="01379E11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Zapotlán El Grande, Jalisco que a la letra señala:</w:t>
      </w:r>
    </w:p>
    <w:p w14:paraId="4DB7AFD7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1AE1B7C1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Artículo 47:</w:t>
      </w:r>
    </w:p>
    <w:p w14:paraId="60533496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1. Los Presidentes de las comisiones edilicias tienen las siguientes obligaciones:</w:t>
      </w:r>
    </w:p>
    <w:p w14:paraId="731557A6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I. Dar a conocer a los demás miembros los asuntos turnados a la comisión.</w:t>
      </w:r>
    </w:p>
    <w:p w14:paraId="14D0707F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1B786EE9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7643B203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II. Convocar por escrito a los integrantes a las sesiones de la comisión y levantar el acta correspondiente;</w:t>
      </w:r>
    </w:p>
    <w:p w14:paraId="1E112756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131EC6AB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III. Promover las visitas, entrevistas y acciones necesarias para el estudio y dictamen de los asuntos turnados;</w:t>
      </w:r>
    </w:p>
    <w:p w14:paraId="1EB838FC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1C6ECB21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IV. Entregar a todos y cada uno de los munícipes, una copia del proyecto de dictamen con</w:t>
      </w:r>
    </w:p>
    <w:p w14:paraId="61737193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24D90446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3485AC2D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una anticipación de cuarenta y ocho horas previas a la celebración de la reunión de comisión en que se discutirá el mismo, salvo en aquellos casos urgentes a su criterio, en que se entreguen en el momento mismo de la reunión.</w:t>
      </w:r>
    </w:p>
    <w:p w14:paraId="072AFD6A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17486E6D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V. Presentar al Ayuntamiento, a través de la Secretaría general, los acuerdos, resoluciones o dictámenes de los asuntos que competan a su comisión edilicia, con una anticipación de setenta y dos horas a la fecha de que tenga verificativo la sesión, en que el asunto se vaya a tratar.</w:t>
      </w:r>
    </w:p>
    <w:p w14:paraId="50C117CD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VI. Tener a su cargo los documentos relacionados con los asuntos que se turnen para su estudio por la comisión edilicia que preside, y una vez dictaminados remitirlos a la Secretaría General para efecto de registro, archivo, guarda y protección de los mismos.</w:t>
      </w:r>
    </w:p>
    <w:p w14:paraId="1ABAE2E6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VII. Asistir puntualmente a las reuniones de las comisiones edilicias; y</w:t>
      </w:r>
    </w:p>
    <w:p w14:paraId="0E9F59B7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VIII. Remitir detalladamente a la Secretaría General, los turnos y demás documentos inherentes, antes de concluir la administración municipal.</w:t>
      </w:r>
    </w:p>
    <w:p w14:paraId="124171E3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73BAD1FA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Artículo 48:</w:t>
      </w:r>
    </w:p>
    <w:p w14:paraId="61164CB8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2F8A1413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1. Los presidentes de cada comisión tienen la responsabilidad de informar a los integrantes de las comisiones, cuando menos con cuarenta y ocho horas de anticipación a la celebración de la reunión de comisión, del día, hora y lugar en que se celebren éstas, así como del orden del día a que se sujetará la reunión respectiva.</w:t>
      </w:r>
    </w:p>
    <w:p w14:paraId="5F30DF96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2. ….</w:t>
      </w:r>
    </w:p>
    <w:p w14:paraId="70FE70A8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3. ….</w:t>
      </w:r>
    </w:p>
    <w:p w14:paraId="6C34BDD6" w14:textId="77777777" w:rsidR="00510E4C" w:rsidRPr="00FE7F49" w:rsidRDefault="00510E4C" w:rsidP="00510E4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VIII. </w:t>
      </w:r>
      <w:r w:rsidRPr="00FE7F49">
        <w:rPr>
          <w:rFonts w:ascii="Arial" w:eastAsia="Times New Roman" w:hAnsi="Arial" w:cs="Arial"/>
        </w:rPr>
        <w:t>De lo expu</w:t>
      </w:r>
      <w:r>
        <w:rPr>
          <w:rFonts w:ascii="Arial" w:eastAsia="Times New Roman" w:hAnsi="Arial" w:cs="Arial"/>
        </w:rPr>
        <w:t>esto es claro y evidente que la suscrita</w:t>
      </w:r>
      <w:r w:rsidRPr="00FE7F49">
        <w:rPr>
          <w:rFonts w:ascii="Arial" w:eastAsia="Times New Roman" w:hAnsi="Arial" w:cs="Arial"/>
        </w:rPr>
        <w:t xml:space="preserve"> en</w:t>
      </w:r>
      <w:r>
        <w:rPr>
          <w:rFonts w:ascii="Arial" w:eastAsia="Times New Roman" w:hAnsi="Arial" w:cs="Arial"/>
        </w:rPr>
        <w:t xml:space="preserve"> mi calidad de Presidenta</w:t>
      </w:r>
      <w:r w:rsidRPr="00FE7F49">
        <w:rPr>
          <w:rFonts w:ascii="Arial" w:eastAsia="Times New Roman" w:hAnsi="Arial" w:cs="Arial"/>
        </w:rPr>
        <w:t xml:space="preserve"> de la comisión multicitada, </w:t>
      </w:r>
      <w:r>
        <w:rPr>
          <w:rFonts w:ascii="Arial" w:eastAsia="Times New Roman" w:hAnsi="Arial" w:cs="Arial"/>
        </w:rPr>
        <w:t>soy competente y tengo</w:t>
      </w:r>
      <w:r w:rsidRPr="00FE7F49">
        <w:rPr>
          <w:rFonts w:ascii="Arial" w:eastAsia="Times New Roman" w:hAnsi="Arial" w:cs="Arial"/>
        </w:rPr>
        <w:t xml:space="preserve"> la obligación de proceder a convocar, elaborar el orden del día y generar las actas y dictámenes de los asuntos que le sean turnados, sin embargo, para recibir el turno y activar el proceso a que se hace alusión es necesario sea presentado en sesión de Ayuntamiento a través de una iniciativa, decreto o acuerdo y aprobado que sea el turno, la Presidencia de la comisión asuma la obligación de estudio, análisis y proyectar su dictaminación</w:t>
      </w:r>
      <w:r>
        <w:rPr>
          <w:rFonts w:ascii="Arial" w:eastAsia="Times New Roman" w:hAnsi="Arial" w:cs="Arial"/>
        </w:rPr>
        <w:t>,</w:t>
      </w:r>
      <w:r w:rsidRPr="00FE7F49">
        <w:rPr>
          <w:rFonts w:ascii="Arial" w:eastAsia="Times New Roman" w:hAnsi="Arial" w:cs="Arial"/>
        </w:rPr>
        <w:t xml:space="preserve"> convocando a los integrantes de la comisión para que emitan su voto correspondiente y con ello proceder a presentar en sesión plenaria, lo anterior se encuentra fundamentado en los siguientes:</w:t>
      </w:r>
    </w:p>
    <w:p w14:paraId="3E63AEA8" w14:textId="77777777" w:rsidR="00510E4C" w:rsidRPr="00FE7F49" w:rsidRDefault="00510E4C" w:rsidP="00510E4C">
      <w:pPr>
        <w:jc w:val="both"/>
        <w:rPr>
          <w:rFonts w:ascii="Arial" w:eastAsia="Times New Roman" w:hAnsi="Arial" w:cs="Arial"/>
        </w:rPr>
      </w:pPr>
    </w:p>
    <w:p w14:paraId="11303CE0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LEY DEL GOBIERNO Y LA ADMINISTRACIÓN PÚBLICA MUNICIPAL DEL ESTADO Y</w:t>
      </w:r>
    </w:p>
    <w:p w14:paraId="029C08B0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SUS MUNICIPIOS</w:t>
      </w:r>
    </w:p>
    <w:p w14:paraId="3705FAF7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7B79A3F4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Artículo 41. Tienen facultad para presentar iniciativas de ordenamientos municipales:</w:t>
      </w:r>
    </w:p>
    <w:p w14:paraId="0493D0C3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I. El Presidente Municipal;</w:t>
      </w:r>
    </w:p>
    <w:p w14:paraId="35BC8BE7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II. Los regidores;</w:t>
      </w:r>
    </w:p>
    <w:p w14:paraId="1D4FE633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III. El Síndico;</w:t>
      </w:r>
    </w:p>
    <w:p w14:paraId="1D3EFEBB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IV. Las comisiones del Ayuntamiento; y</w:t>
      </w:r>
    </w:p>
    <w:p w14:paraId="14BF1B5C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 xml:space="preserve">V. Los ciudadanos inscritos en la lista nominal de electores, en los términos que exija la Constitución y la ley de la materia. El ejercicio de la facultad de iniciativa, en cualquiera de los casos señalados en los numerales inmediatos anteriores, no supone que los Ayuntamientos </w:t>
      </w:r>
    </w:p>
    <w:p w14:paraId="02896095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6B4AE488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lastRenderedPageBreak/>
        <w:t>deban aprobar las iniciativas así presentadas, sino únicamente que las mismas deben ser valoradas mediante el procedimiento establecido en la presente ley y en los reglamentos correspondientes.</w:t>
      </w:r>
    </w:p>
    <w:p w14:paraId="332E1C49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0AFFF610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La presentación de una iniciativa no genera derecho a persona alguna, únicamente supone el inicio del procedimiento respectivo que debe agotarse en virtud del interés público.</w:t>
      </w:r>
    </w:p>
    <w:p w14:paraId="188F799D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53393F8B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REGLAMENTO INTERIOR DEL AYUN</w:t>
      </w:r>
      <w:r>
        <w:rPr>
          <w:rFonts w:ascii="Arial" w:eastAsia="Times New Roman" w:hAnsi="Arial" w:cs="Arial"/>
        </w:rPr>
        <w:t xml:space="preserve">TAMIENTO DE ZAPOTLÁN EL GRANDE, </w:t>
      </w:r>
      <w:r w:rsidRPr="008660B2">
        <w:rPr>
          <w:rFonts w:ascii="Arial" w:eastAsia="Times New Roman" w:hAnsi="Arial" w:cs="Arial"/>
        </w:rPr>
        <w:t>JALISCO</w:t>
      </w:r>
    </w:p>
    <w:p w14:paraId="5647AA96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16681656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Artículo 87.</w:t>
      </w:r>
    </w:p>
    <w:p w14:paraId="322D8C8D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1875D69D" w14:textId="77777777" w:rsidR="00510E4C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1. La facultad de presentar iniciativas de ordenamiento municipal, decreto y acuerdo corresponde:</w:t>
      </w:r>
    </w:p>
    <w:p w14:paraId="7BB71342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396ABD18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I. Al presidente Municipal;</w:t>
      </w:r>
    </w:p>
    <w:p w14:paraId="4EE50DC5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II. Los Regidores;</w:t>
      </w:r>
    </w:p>
    <w:p w14:paraId="444E266B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III. Al Síndico; y</w:t>
      </w:r>
    </w:p>
    <w:p w14:paraId="0524A746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IV. A las comisiones del Ayuntamiento, colegiadas o individuales.</w:t>
      </w:r>
    </w:p>
    <w:p w14:paraId="6A31D815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2….</w:t>
      </w:r>
    </w:p>
    <w:p w14:paraId="153B8B8D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3…</w:t>
      </w:r>
    </w:p>
    <w:p w14:paraId="2865659C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4…</w:t>
      </w:r>
    </w:p>
    <w:p w14:paraId="54F7CCCA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5…</w:t>
      </w:r>
    </w:p>
    <w:p w14:paraId="41784749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Artículo 101.</w:t>
      </w:r>
    </w:p>
    <w:p w14:paraId="3E53968F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1. Recibida una iniciativa, el Presidente Municipal propone al Ayuntamiento el turno a la Comisión o comisiones a que compete el asunto, de conformidad con el presente reglamento.</w:t>
      </w:r>
    </w:p>
    <w:p w14:paraId="27C3BA07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2. Cuando la competencia corresponda a varias comisiones edilicias, el Presidente Municipal propone el turno a las mismas para que trabajen conjuntamente bajo la dirección de la comisión convocante.</w:t>
      </w:r>
    </w:p>
    <w:p w14:paraId="1AC45C5D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3. La comisión convocante es la primera en el orden de enunciación propuesto por el Presidente Municipal, de acuerdo con la especialización de las comisiones.</w:t>
      </w:r>
    </w:p>
    <w:p w14:paraId="7A1809A3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4. El turno a comisiones lo propone el Presidente Municipal con estricto apego a las atribuciones que establece este reglamento.</w:t>
      </w:r>
    </w:p>
    <w:p w14:paraId="0736B8B7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303325">
        <w:rPr>
          <w:rFonts w:ascii="Arial" w:eastAsia="Times New Roman" w:hAnsi="Arial" w:cs="Arial"/>
          <w:sz w:val="20"/>
          <w:szCs w:val="20"/>
        </w:rPr>
        <w:t>5. El turno propuesto por el Presidente Municipal, debe ser aprobado por el ayuntamiento, con las modificaciones que en su caso considere pertinentes.</w:t>
      </w:r>
    </w:p>
    <w:p w14:paraId="5958F9C1" w14:textId="77777777" w:rsidR="00510E4C" w:rsidRPr="00303325" w:rsidRDefault="00510E4C" w:rsidP="00510E4C">
      <w:pPr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14:paraId="45724092" w14:textId="77777777" w:rsidR="00510E4C" w:rsidRPr="0030080D" w:rsidRDefault="00510E4C" w:rsidP="00510E4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IX. </w:t>
      </w:r>
      <w:r w:rsidRPr="0030080D">
        <w:rPr>
          <w:rFonts w:ascii="Arial" w:eastAsia="Times New Roman" w:hAnsi="Arial" w:cs="Arial"/>
        </w:rPr>
        <w:t>Al efecto y no obstante la obligatoriedad que señala el art</w:t>
      </w:r>
      <w:r>
        <w:rPr>
          <w:rFonts w:ascii="Arial" w:eastAsia="Times New Roman" w:hAnsi="Arial" w:cs="Arial"/>
        </w:rPr>
        <w:t>ículo 27 párrafo 5</w:t>
      </w:r>
      <w:r w:rsidRPr="0030080D">
        <w:rPr>
          <w:rFonts w:ascii="Arial" w:eastAsia="Times New Roman" w:hAnsi="Arial" w:cs="Arial"/>
        </w:rPr>
        <w:t xml:space="preserve"> de la citada Ley del Gobierno para que las Comisiones CELEBREN SESIONES UNA VEZ AL MES, he de informar que la COMISIÓN ED</w:t>
      </w:r>
      <w:r>
        <w:rPr>
          <w:rFonts w:ascii="Arial" w:eastAsia="Times New Roman" w:hAnsi="Arial" w:cs="Arial"/>
        </w:rPr>
        <w:t>ILICIA DE MERCADOS Y CENTRALES DE ABASTO</w:t>
      </w:r>
      <w:r w:rsidRPr="0030080D">
        <w:rPr>
          <w:rFonts w:ascii="Arial" w:eastAsia="Times New Roman" w:hAnsi="Arial" w:cs="Arial"/>
        </w:rPr>
        <w:t>, que me honro en presidir, no ha recibido turnos de asuntos en sesión plenaria conforme lo indican los artículos antes señalados, motivo por el cual y ante la falta de asuntos que tratar</w:t>
      </w:r>
      <w:r>
        <w:rPr>
          <w:rFonts w:ascii="Arial" w:eastAsia="Times New Roman" w:hAnsi="Arial" w:cs="Arial"/>
        </w:rPr>
        <w:t>,</w:t>
      </w:r>
      <w:r w:rsidRPr="0030080D">
        <w:rPr>
          <w:rFonts w:ascii="Arial" w:eastAsia="Times New Roman" w:hAnsi="Arial" w:cs="Arial"/>
        </w:rPr>
        <w:t xml:space="preserve"> a pesar de la competencia y facultades de ésta comisión no se han ejercido, y por tanto no se ha generado la información siguiente:</w:t>
      </w:r>
    </w:p>
    <w:p w14:paraId="4B240A9D" w14:textId="77777777" w:rsidR="00510E4C" w:rsidRPr="0030080D" w:rsidRDefault="00510E4C" w:rsidP="00510E4C">
      <w:pPr>
        <w:jc w:val="both"/>
        <w:rPr>
          <w:rFonts w:ascii="Arial" w:eastAsia="Times New Roman" w:hAnsi="Arial" w:cs="Arial"/>
        </w:rPr>
      </w:pPr>
    </w:p>
    <w:p w14:paraId="40B80041" w14:textId="42E16169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EN EL PERÍODO C</w:t>
      </w:r>
      <w:r w:rsidR="00DA5696">
        <w:rPr>
          <w:rFonts w:ascii="Arial" w:eastAsia="Times New Roman" w:hAnsi="Arial" w:cs="Arial"/>
        </w:rPr>
        <w:t>OMPRENDIDO DEL 01 AL 28</w:t>
      </w:r>
      <w:r w:rsidR="0018219C">
        <w:rPr>
          <w:rFonts w:ascii="Arial" w:eastAsia="Times New Roman" w:hAnsi="Arial" w:cs="Arial"/>
        </w:rPr>
        <w:t xml:space="preserve"> DE </w:t>
      </w:r>
      <w:r w:rsidR="00DA5696">
        <w:rPr>
          <w:rFonts w:ascii="Arial" w:eastAsia="Times New Roman" w:hAnsi="Arial" w:cs="Arial"/>
        </w:rPr>
        <w:t>FEBRERO</w:t>
      </w:r>
      <w:r w:rsidRPr="008660B2">
        <w:rPr>
          <w:rFonts w:ascii="Arial" w:eastAsia="Times New Roman" w:hAnsi="Arial" w:cs="Arial"/>
        </w:rPr>
        <w:t xml:space="preserve"> </w:t>
      </w:r>
      <w:r w:rsidR="0018219C">
        <w:rPr>
          <w:rFonts w:ascii="Arial" w:eastAsia="Times New Roman" w:hAnsi="Arial" w:cs="Arial"/>
        </w:rPr>
        <w:t>DE 2025</w:t>
      </w:r>
      <w:r w:rsidRPr="008660B2">
        <w:rPr>
          <w:rFonts w:ascii="Arial" w:eastAsia="Times New Roman" w:hAnsi="Arial" w:cs="Arial"/>
        </w:rPr>
        <w:t>.</w:t>
      </w:r>
    </w:p>
    <w:p w14:paraId="6DEE8192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71EDB493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1. CONVOCATORIAS A SESIONES por parte de</w:t>
      </w:r>
      <w:r>
        <w:rPr>
          <w:rFonts w:ascii="Arial" w:eastAsia="Times New Roman" w:hAnsi="Arial" w:cs="Arial"/>
        </w:rPr>
        <w:t xml:space="preserve"> la Presidencia del H. Comisión </w:t>
      </w:r>
      <w:r w:rsidRPr="008660B2">
        <w:rPr>
          <w:rFonts w:ascii="Arial" w:eastAsia="Times New Roman" w:hAnsi="Arial" w:cs="Arial"/>
        </w:rPr>
        <w:t>Edilicia Perm</w:t>
      </w:r>
      <w:r>
        <w:rPr>
          <w:rFonts w:ascii="Arial" w:eastAsia="Times New Roman" w:hAnsi="Arial" w:cs="Arial"/>
        </w:rPr>
        <w:t>anente de MERCADOS Y CENTRALES DE ABASTO</w:t>
      </w:r>
      <w:r w:rsidRPr="008660B2">
        <w:rPr>
          <w:rFonts w:ascii="Arial" w:eastAsia="Times New Roman" w:hAnsi="Arial" w:cs="Arial"/>
        </w:rPr>
        <w:t>: No se han generado.</w:t>
      </w:r>
    </w:p>
    <w:p w14:paraId="47355307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63BF1579" w14:textId="6FD6E264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 xml:space="preserve">2. INFORMES DETALLADOS por parte de la </w:t>
      </w:r>
      <w:r>
        <w:rPr>
          <w:rFonts w:ascii="Arial" w:eastAsia="Times New Roman" w:hAnsi="Arial" w:cs="Arial"/>
        </w:rPr>
        <w:t>Comisión Edilicia Permanent</w:t>
      </w:r>
      <w:r w:rsidR="0018219C">
        <w:rPr>
          <w:rFonts w:ascii="Arial" w:eastAsia="Times New Roman" w:hAnsi="Arial" w:cs="Arial"/>
        </w:rPr>
        <w:t>e de MERCADOS Y CENTRALES DE ABASTO</w:t>
      </w:r>
      <w:r w:rsidRPr="008660B2">
        <w:rPr>
          <w:rFonts w:ascii="Arial" w:eastAsia="Times New Roman" w:hAnsi="Arial" w:cs="Arial"/>
        </w:rPr>
        <w:t>: No se ha generado.</w:t>
      </w:r>
    </w:p>
    <w:p w14:paraId="34A7AC4F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</w:p>
    <w:p w14:paraId="1F8A1503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</w:p>
    <w:p w14:paraId="0F54E46B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46CB858F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 xml:space="preserve">3. ORDEN DEL DÍA DE LAS SESIONES de la </w:t>
      </w:r>
      <w:r>
        <w:rPr>
          <w:rFonts w:ascii="Arial" w:eastAsia="Times New Roman" w:hAnsi="Arial" w:cs="Arial"/>
        </w:rPr>
        <w:t>Comisión Edilicia Permanente de MERCADOS Y CENTRALES DE ABASTO</w:t>
      </w:r>
      <w:r w:rsidRPr="008660B2">
        <w:rPr>
          <w:rFonts w:ascii="Arial" w:eastAsia="Times New Roman" w:hAnsi="Arial" w:cs="Arial"/>
        </w:rPr>
        <w:t>: No se han generado.</w:t>
      </w:r>
    </w:p>
    <w:p w14:paraId="08CF8AA1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1D060780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4. LISTAS DE ASISTENCIA A SESIONES DE COMISIÓN: en lo que compete a la</w:t>
      </w:r>
      <w:r>
        <w:rPr>
          <w:rFonts w:ascii="Arial" w:eastAsia="Times New Roman" w:hAnsi="Arial" w:cs="Arial"/>
        </w:rPr>
        <w:t xml:space="preserve"> </w:t>
      </w:r>
      <w:r w:rsidRPr="008660B2">
        <w:rPr>
          <w:rFonts w:ascii="Arial" w:eastAsia="Times New Roman" w:hAnsi="Arial" w:cs="Arial"/>
        </w:rPr>
        <w:t>Presidencia de la Comisión Edilic</w:t>
      </w:r>
      <w:r>
        <w:rPr>
          <w:rFonts w:ascii="Arial" w:eastAsia="Times New Roman" w:hAnsi="Arial" w:cs="Arial"/>
        </w:rPr>
        <w:t>ia Permanente de MERCADOS Y CENTRALES DE ABASTO: No se han generado.</w:t>
      </w:r>
    </w:p>
    <w:p w14:paraId="0B5A7825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28BFD139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 xml:space="preserve">5. ACTAS DE SESIONES de la </w:t>
      </w:r>
      <w:r>
        <w:rPr>
          <w:rFonts w:ascii="Arial" w:eastAsia="Times New Roman" w:hAnsi="Arial" w:cs="Arial"/>
        </w:rPr>
        <w:t>Comisión Edilicia Permanente de</w:t>
      </w:r>
      <w:r w:rsidRPr="00BE22B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MERCADOS Y CENTRALES DE ABASTO</w:t>
      </w:r>
      <w:r w:rsidRPr="008660B2">
        <w:rPr>
          <w:rFonts w:ascii="Arial" w:eastAsia="Times New Roman" w:hAnsi="Arial" w:cs="Arial"/>
        </w:rPr>
        <w:t>: No se han generado.</w:t>
      </w:r>
    </w:p>
    <w:p w14:paraId="61CA50DF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298D5AB2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 xml:space="preserve">6. ESTADÍSTICA DE VOTACIÓN por parte de </w:t>
      </w:r>
      <w:r>
        <w:rPr>
          <w:rFonts w:ascii="Arial" w:eastAsia="Times New Roman" w:hAnsi="Arial" w:cs="Arial"/>
        </w:rPr>
        <w:t>la Comisión Edilicia Permanente de MERCADOS Y CENTRALES DE ABASTO</w:t>
      </w:r>
      <w:r w:rsidRPr="008660B2">
        <w:rPr>
          <w:rFonts w:ascii="Arial" w:eastAsia="Times New Roman" w:hAnsi="Arial" w:cs="Arial"/>
        </w:rPr>
        <w:t>: No se ha generado.</w:t>
      </w:r>
    </w:p>
    <w:p w14:paraId="2EDD36C8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778B6182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7. VIDEOS O GRABACIONES de las sesi</w:t>
      </w:r>
      <w:r>
        <w:rPr>
          <w:rFonts w:ascii="Arial" w:eastAsia="Times New Roman" w:hAnsi="Arial" w:cs="Arial"/>
        </w:rPr>
        <w:t xml:space="preserve">ones o reuniones de la Comisión </w:t>
      </w:r>
      <w:r w:rsidRPr="008660B2">
        <w:rPr>
          <w:rFonts w:ascii="Arial" w:eastAsia="Times New Roman" w:hAnsi="Arial" w:cs="Arial"/>
        </w:rPr>
        <w:t>Edilicia Perm</w:t>
      </w:r>
      <w:r>
        <w:rPr>
          <w:rFonts w:ascii="Arial" w:eastAsia="Times New Roman" w:hAnsi="Arial" w:cs="Arial"/>
        </w:rPr>
        <w:t>anente de</w:t>
      </w:r>
      <w:r w:rsidRPr="00E1231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MERCADOS Y CENTRALES DE ABASTO</w:t>
      </w:r>
      <w:r w:rsidRPr="008660B2">
        <w:rPr>
          <w:rFonts w:ascii="Arial" w:eastAsia="Times New Roman" w:hAnsi="Arial" w:cs="Arial"/>
        </w:rPr>
        <w:t>: No se han generado.</w:t>
      </w:r>
    </w:p>
    <w:p w14:paraId="3928A3AD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671BE99B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8. INICIATIVAS O DICTÁMENES PRESENTADO</w:t>
      </w:r>
      <w:r>
        <w:rPr>
          <w:rFonts w:ascii="Arial" w:eastAsia="Times New Roman" w:hAnsi="Arial" w:cs="Arial"/>
        </w:rPr>
        <w:t xml:space="preserve">S: No se han generado por parte </w:t>
      </w:r>
      <w:r w:rsidRPr="008660B2">
        <w:rPr>
          <w:rFonts w:ascii="Arial" w:eastAsia="Times New Roman" w:hAnsi="Arial" w:cs="Arial"/>
        </w:rPr>
        <w:t>de la Comisión Edilicia Perm</w:t>
      </w:r>
      <w:r>
        <w:rPr>
          <w:rFonts w:ascii="Arial" w:eastAsia="Times New Roman" w:hAnsi="Arial" w:cs="Arial"/>
        </w:rPr>
        <w:t>anente de MERCADOS Y CENTRALES DE ABASTO</w:t>
      </w:r>
      <w:r w:rsidRPr="008660B2">
        <w:rPr>
          <w:rFonts w:ascii="Arial" w:eastAsia="Times New Roman" w:hAnsi="Arial" w:cs="Arial"/>
        </w:rPr>
        <w:t>.</w:t>
      </w:r>
    </w:p>
    <w:p w14:paraId="34DDBD45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39B2D15D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Por lo anteriormente expuesto, fundado y motivado, t</w:t>
      </w:r>
      <w:r>
        <w:rPr>
          <w:rFonts w:ascii="Arial" w:eastAsia="Times New Roman" w:hAnsi="Arial" w:cs="Arial"/>
        </w:rPr>
        <w:t xml:space="preserve">engo a bien remitir el presente </w:t>
      </w:r>
      <w:r w:rsidRPr="008660B2">
        <w:rPr>
          <w:rFonts w:ascii="Arial" w:eastAsia="Times New Roman" w:hAnsi="Arial" w:cs="Arial"/>
        </w:rPr>
        <w:t>en VÍA DE INFORME en los términos señalados.</w:t>
      </w:r>
    </w:p>
    <w:p w14:paraId="1C16B9B3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2EDEC47F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  <w:r w:rsidRPr="008660B2">
        <w:rPr>
          <w:rFonts w:ascii="Arial" w:eastAsia="Times New Roman" w:hAnsi="Arial" w:cs="Arial"/>
        </w:rPr>
        <w:t>Sin más por el momento, me despido de u</w:t>
      </w:r>
      <w:r>
        <w:rPr>
          <w:rFonts w:ascii="Arial" w:eastAsia="Times New Roman" w:hAnsi="Arial" w:cs="Arial"/>
        </w:rPr>
        <w:t xml:space="preserve">sted quedando a sus apreciables </w:t>
      </w:r>
      <w:r w:rsidRPr="008660B2">
        <w:rPr>
          <w:rFonts w:ascii="Arial" w:eastAsia="Times New Roman" w:hAnsi="Arial" w:cs="Arial"/>
        </w:rPr>
        <w:t>órdenes.</w:t>
      </w:r>
    </w:p>
    <w:p w14:paraId="33250604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</w:p>
    <w:p w14:paraId="2E64A50A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</w:p>
    <w:p w14:paraId="661C4573" w14:textId="77777777" w:rsidR="00510E4C" w:rsidRPr="00BE22BB" w:rsidRDefault="00510E4C" w:rsidP="00510E4C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BE22BB">
        <w:rPr>
          <w:rFonts w:ascii="Arial" w:eastAsia="Times New Roman" w:hAnsi="Arial" w:cs="Arial"/>
          <w:b/>
          <w:bCs/>
          <w:color w:val="000000"/>
        </w:rPr>
        <w:t>A T E N T A M E N T E</w:t>
      </w:r>
    </w:p>
    <w:p w14:paraId="65A13E4B" w14:textId="77777777" w:rsidR="00510E4C" w:rsidRPr="00BE22BB" w:rsidRDefault="00510E4C" w:rsidP="00510E4C">
      <w:pPr>
        <w:jc w:val="center"/>
        <w:rPr>
          <w:rFonts w:ascii="Arial" w:eastAsiaTheme="minorHAnsi" w:hAnsi="Arial" w:cs="Arial"/>
          <w:b/>
          <w:kern w:val="2"/>
          <w:lang w:eastAsia="en-US"/>
          <w14:ligatures w14:val="standardContextual"/>
        </w:rPr>
      </w:pPr>
      <w:r w:rsidRPr="00BE22BB">
        <w:rPr>
          <w:rFonts w:ascii="Arial" w:eastAsiaTheme="minorHAnsi" w:hAnsi="Arial" w:cs="Arial"/>
          <w:b/>
          <w:kern w:val="2"/>
          <w:lang w:eastAsia="en-US"/>
          <w14:ligatures w14:val="standardContextual"/>
        </w:rPr>
        <w:t>“2025, AÑO DEL 130 ANIVERSARIO DEL NATALICIO DE LA MUSA Y ESCRITORA ZAPOTLENSE MARÍA GUADALUPE MARÍN PRECIADO”</w:t>
      </w:r>
    </w:p>
    <w:p w14:paraId="75DFA433" w14:textId="6A9E9B9E" w:rsidR="00510E4C" w:rsidRPr="00BE22BB" w:rsidRDefault="00510E4C" w:rsidP="00510E4C">
      <w:pPr>
        <w:jc w:val="center"/>
        <w:rPr>
          <w:rFonts w:ascii="Arial" w:eastAsiaTheme="minorHAnsi" w:hAnsi="Arial" w:cs="Arial"/>
          <w:b/>
          <w:kern w:val="2"/>
          <w:lang w:eastAsia="en-US"/>
          <w14:ligatures w14:val="standardContextual"/>
        </w:rPr>
      </w:pPr>
      <w:r w:rsidRPr="00BE22BB">
        <w:rPr>
          <w:rFonts w:ascii="Arial" w:eastAsiaTheme="minorHAnsi" w:hAnsi="Arial" w:cs="Arial"/>
          <w:b/>
          <w:kern w:val="2"/>
          <w:lang w:eastAsia="en-US"/>
          <w14:ligatures w14:val="standardContextual"/>
        </w:rPr>
        <w:t>CD GUZMÁN, MUNICIPIO DE</w:t>
      </w:r>
      <w:r w:rsidR="00DA5696">
        <w:rPr>
          <w:rFonts w:ascii="Arial" w:eastAsiaTheme="minorHAnsi" w:hAnsi="Arial" w:cs="Arial"/>
          <w:b/>
          <w:kern w:val="2"/>
          <w:lang w:eastAsia="en-US"/>
          <w14:ligatures w14:val="standardContextual"/>
        </w:rPr>
        <w:t xml:space="preserve"> ZAPOTLÁN EL GRANDE JALISCO A 28 DE FEBRERO</w:t>
      </w:r>
      <w:r w:rsidRPr="00BE22BB">
        <w:rPr>
          <w:rFonts w:ascii="Arial" w:eastAsiaTheme="minorHAnsi" w:hAnsi="Arial" w:cs="Arial"/>
          <w:b/>
          <w:kern w:val="2"/>
          <w:lang w:eastAsia="en-US"/>
          <w14:ligatures w14:val="standardContextual"/>
        </w:rPr>
        <w:t xml:space="preserve"> DEL 2025</w:t>
      </w:r>
    </w:p>
    <w:p w14:paraId="1FAB3A61" w14:textId="77777777" w:rsidR="00510E4C" w:rsidRPr="00BE22BB" w:rsidRDefault="00510E4C" w:rsidP="00510E4C">
      <w:pPr>
        <w:jc w:val="center"/>
        <w:rPr>
          <w:rFonts w:ascii="Arial" w:eastAsiaTheme="minorHAnsi" w:hAnsi="Arial" w:cs="Arial"/>
          <w:b/>
          <w:kern w:val="2"/>
          <w:lang w:eastAsia="en-US"/>
          <w14:ligatures w14:val="standardContextual"/>
        </w:rPr>
      </w:pPr>
    </w:p>
    <w:p w14:paraId="06EB6CD7" w14:textId="77777777" w:rsidR="00510E4C" w:rsidRPr="00BE22BB" w:rsidRDefault="00510E4C" w:rsidP="00510E4C">
      <w:pPr>
        <w:jc w:val="center"/>
        <w:rPr>
          <w:rFonts w:ascii="Arial" w:eastAsiaTheme="minorHAnsi" w:hAnsi="Arial" w:cs="Arial"/>
          <w:b/>
          <w:kern w:val="2"/>
          <w:lang w:eastAsia="en-US"/>
          <w14:ligatures w14:val="standardContextual"/>
        </w:rPr>
      </w:pPr>
    </w:p>
    <w:p w14:paraId="10BB202B" w14:textId="77777777" w:rsidR="00510E4C" w:rsidRPr="00BE22BB" w:rsidRDefault="00510E4C" w:rsidP="00510E4C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75CDBD9A" w14:textId="77777777" w:rsidR="00510E4C" w:rsidRPr="00E1231D" w:rsidRDefault="00510E4C" w:rsidP="00510E4C">
      <w:pPr>
        <w:jc w:val="center"/>
        <w:rPr>
          <w:rFonts w:ascii="Arial" w:eastAsia="Times New Roman" w:hAnsi="Arial" w:cs="Arial"/>
        </w:rPr>
      </w:pPr>
      <w:r w:rsidRPr="00E1231D">
        <w:rPr>
          <w:rFonts w:ascii="Arial" w:eastAsia="Times New Roman" w:hAnsi="Arial" w:cs="Arial"/>
        </w:rPr>
        <w:t>_______________________________________</w:t>
      </w:r>
    </w:p>
    <w:p w14:paraId="70EFAEAF" w14:textId="77777777" w:rsidR="00510E4C" w:rsidRPr="00E1231D" w:rsidRDefault="00510E4C" w:rsidP="00510E4C">
      <w:pPr>
        <w:jc w:val="center"/>
        <w:rPr>
          <w:rFonts w:ascii="Arial" w:eastAsia="Times New Roman" w:hAnsi="Arial" w:cs="Arial"/>
        </w:rPr>
      </w:pPr>
      <w:r w:rsidRPr="00E1231D">
        <w:rPr>
          <w:rFonts w:ascii="Arial" w:eastAsia="Times New Roman" w:hAnsi="Arial" w:cs="Arial"/>
          <w:b/>
          <w:bCs/>
          <w:color w:val="000000"/>
        </w:rPr>
        <w:t>DRA. BERTHA SILVIA GÓMEZ RAMOS</w:t>
      </w:r>
    </w:p>
    <w:p w14:paraId="360D6596" w14:textId="77777777" w:rsidR="00510E4C" w:rsidRPr="00E1231D" w:rsidRDefault="00510E4C" w:rsidP="00510E4C">
      <w:pPr>
        <w:jc w:val="center"/>
        <w:rPr>
          <w:rFonts w:ascii="Arial" w:eastAsia="Times New Roman" w:hAnsi="Arial" w:cs="Arial"/>
          <w:b/>
        </w:rPr>
      </w:pPr>
      <w:r w:rsidRPr="00E1231D">
        <w:rPr>
          <w:rFonts w:ascii="Arial" w:eastAsia="Times New Roman" w:hAnsi="Arial" w:cs="Arial"/>
          <w:b/>
          <w:color w:val="000000"/>
        </w:rPr>
        <w:t xml:space="preserve">REGIDORA PRESIDENTA DE LA COMISIÓN EDILICIA PERMANENTE DE </w:t>
      </w:r>
      <w:r w:rsidRPr="00E1231D">
        <w:rPr>
          <w:rFonts w:ascii="Arial" w:eastAsia="Times New Roman" w:hAnsi="Arial" w:cs="Arial"/>
          <w:b/>
        </w:rPr>
        <w:t>MERCADOS Y CENTRALES DE ABASTO.</w:t>
      </w:r>
    </w:p>
    <w:p w14:paraId="3AFF08A1" w14:textId="77777777" w:rsidR="00510E4C" w:rsidRPr="00E1231D" w:rsidRDefault="00510E4C" w:rsidP="00510E4C">
      <w:pPr>
        <w:jc w:val="center"/>
        <w:rPr>
          <w:rFonts w:ascii="Arial" w:eastAsia="Times New Roman" w:hAnsi="Arial" w:cs="Arial"/>
        </w:rPr>
      </w:pPr>
    </w:p>
    <w:p w14:paraId="64FAD9DC" w14:textId="77777777" w:rsidR="00510E4C" w:rsidRDefault="00510E4C" w:rsidP="00510E4C">
      <w:pPr>
        <w:jc w:val="center"/>
        <w:rPr>
          <w:rFonts w:ascii="Arial" w:eastAsia="Times New Roman" w:hAnsi="Arial" w:cs="Arial"/>
        </w:rPr>
      </w:pPr>
    </w:p>
    <w:p w14:paraId="0684B0CE" w14:textId="77777777" w:rsidR="00510E4C" w:rsidRDefault="00510E4C" w:rsidP="00510E4C">
      <w:pPr>
        <w:jc w:val="both"/>
        <w:rPr>
          <w:rFonts w:ascii="Arial" w:eastAsia="Times New Roman" w:hAnsi="Arial" w:cs="Arial"/>
        </w:rPr>
      </w:pPr>
    </w:p>
    <w:p w14:paraId="2B7F872F" w14:textId="77777777" w:rsidR="00510E4C" w:rsidRPr="008660B2" w:rsidRDefault="00510E4C" w:rsidP="00510E4C">
      <w:pPr>
        <w:jc w:val="both"/>
        <w:rPr>
          <w:rFonts w:ascii="Arial" w:eastAsia="Times New Roman" w:hAnsi="Arial" w:cs="Arial"/>
        </w:rPr>
      </w:pPr>
    </w:p>
    <w:p w14:paraId="591E2EB8" w14:textId="2BEE2475" w:rsidR="008159E6" w:rsidRPr="00510E4C" w:rsidRDefault="00510E4C" w:rsidP="008159E6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*BSGR/</w:t>
      </w:r>
      <w:proofErr w:type="spellStart"/>
      <w:r>
        <w:rPr>
          <w:rFonts w:ascii="Arial" w:eastAsia="Times New Roman" w:hAnsi="Arial" w:cs="Arial"/>
        </w:rPr>
        <w:t>sgls</w:t>
      </w:r>
      <w:proofErr w:type="spellEnd"/>
      <w:r>
        <w:rPr>
          <w:rFonts w:ascii="Arial" w:eastAsia="Times New Roman" w:hAnsi="Arial" w:cs="Arial"/>
        </w:rPr>
        <w:t>.</w:t>
      </w:r>
    </w:p>
    <w:sectPr w:rsidR="008159E6" w:rsidRPr="00510E4C" w:rsidSect="002F130C">
      <w:headerReference w:type="even" r:id="rId6"/>
      <w:headerReference w:type="default" r:id="rId7"/>
      <w:headerReference w:type="first" r:id="rId8"/>
      <w:pgSz w:w="12240" w:h="15840"/>
      <w:pgMar w:top="1417" w:right="90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755C6" w14:textId="77777777" w:rsidR="007936DD" w:rsidRDefault="00A85CF1">
      <w:r>
        <w:separator/>
      </w:r>
    </w:p>
  </w:endnote>
  <w:endnote w:type="continuationSeparator" w:id="0">
    <w:p w14:paraId="7F5B6F78" w14:textId="77777777" w:rsidR="007936DD" w:rsidRDefault="00A8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4D6CB" w14:textId="77777777" w:rsidR="007936DD" w:rsidRDefault="00A85CF1">
      <w:r>
        <w:separator/>
      </w:r>
    </w:p>
  </w:footnote>
  <w:footnote w:type="continuationSeparator" w:id="0">
    <w:p w14:paraId="202CE6BB" w14:textId="77777777" w:rsidR="007936DD" w:rsidRDefault="00A8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5122" w14:textId="77777777" w:rsidR="00234D53" w:rsidRDefault="00BD612B">
    <w:pPr>
      <w:pStyle w:val="Encabezado"/>
    </w:pPr>
    <w:r>
      <w:rPr>
        <w:noProof/>
      </w:rPr>
      <w:pict w14:anchorId="49548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5" type="#_x0000_t75" alt="" style="position:absolute;margin-left:0;margin-top:0;width:612.35pt;height:792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es-ES"/>
      </w:rPr>
      <w:id w:val="156999792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MX"/>
      </w:rPr>
    </w:sdtEndPr>
    <w:sdtContent>
      <w:p w14:paraId="6B930AD8" w14:textId="04EB68E5" w:rsidR="00234D53" w:rsidRDefault="00BD612B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pict w14:anchorId="4C0AA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22049" o:spid="_x0000_s1026" type="#_x0000_t75" alt="" style="position:absolute;left:0;text-align:left;margin-left:-65.2pt;margin-top:-77.75pt;width:612.35pt;height:792.35pt;z-index:-251658752;mso-wrap-edited:f;mso-width-percent:0;mso-height-percent:0;mso-position-horizontal-relative:margin;mso-position-vertical-relative:margin;mso-width-percent:0;mso-height-percent:0" o:allowincell="f">
              <v:imagedata r:id="rId1" o:title="Hoja membretada"/>
              <w10:wrap anchorx="margin" anchory="margin"/>
            </v:shape>
          </w:pict>
        </w:r>
        <w:r w:rsidR="00A85CF1">
          <w:rPr>
            <w:color w:val="7F7F7F" w:themeColor="background1" w:themeShade="7F"/>
            <w:spacing w:val="60"/>
            <w:lang w:val="es-ES"/>
          </w:rPr>
          <w:t>Página</w:t>
        </w:r>
        <w:r w:rsidR="00A85CF1">
          <w:rPr>
            <w:lang w:val="es-ES"/>
          </w:rPr>
          <w:t xml:space="preserve"> | </w:t>
        </w:r>
        <w:r w:rsidR="00A85CF1">
          <w:fldChar w:fldCharType="begin"/>
        </w:r>
        <w:r w:rsidR="00A85CF1">
          <w:instrText>PAGE   \* MERGEFORMAT</w:instrText>
        </w:r>
        <w:r w:rsidR="00A85CF1">
          <w:fldChar w:fldCharType="separate"/>
        </w:r>
        <w:r w:rsidRPr="00BD612B">
          <w:rPr>
            <w:b/>
            <w:bCs/>
            <w:noProof/>
            <w:lang w:val="es-ES"/>
          </w:rPr>
          <w:t>6</w:t>
        </w:r>
        <w:r w:rsidR="00A85CF1">
          <w:rPr>
            <w:b/>
            <w:bCs/>
          </w:rPr>
          <w:fldChar w:fldCharType="end"/>
        </w:r>
      </w:p>
    </w:sdtContent>
  </w:sdt>
  <w:p w14:paraId="031402EC" w14:textId="77777777" w:rsidR="00234D53" w:rsidRDefault="00234D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F5883" w14:textId="77777777" w:rsidR="00234D53" w:rsidRDefault="00BD612B">
    <w:pPr>
      <w:pStyle w:val="Encabezado"/>
    </w:pPr>
    <w:r>
      <w:rPr>
        <w:noProof/>
      </w:rPr>
      <w:pict w14:anchorId="50DD03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7" type="#_x0000_t75" alt="" style="position:absolute;margin-left:0;margin-top:0;width:612.35pt;height:792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13"/>
    <w:rsid w:val="000F433F"/>
    <w:rsid w:val="000F7458"/>
    <w:rsid w:val="00113CA6"/>
    <w:rsid w:val="00121ECF"/>
    <w:rsid w:val="0018219C"/>
    <w:rsid w:val="002010FB"/>
    <w:rsid w:val="00234D53"/>
    <w:rsid w:val="002D0692"/>
    <w:rsid w:val="002E588C"/>
    <w:rsid w:val="0043716D"/>
    <w:rsid w:val="00510E4C"/>
    <w:rsid w:val="00646148"/>
    <w:rsid w:val="006D7C8E"/>
    <w:rsid w:val="006F3EC5"/>
    <w:rsid w:val="00726913"/>
    <w:rsid w:val="0077258A"/>
    <w:rsid w:val="007936DD"/>
    <w:rsid w:val="008159E6"/>
    <w:rsid w:val="008C05DD"/>
    <w:rsid w:val="008F2E87"/>
    <w:rsid w:val="009525E8"/>
    <w:rsid w:val="009833F0"/>
    <w:rsid w:val="0098782B"/>
    <w:rsid w:val="00993E2E"/>
    <w:rsid w:val="009A109F"/>
    <w:rsid w:val="009A3B26"/>
    <w:rsid w:val="00A32B69"/>
    <w:rsid w:val="00A85CF1"/>
    <w:rsid w:val="00A971B3"/>
    <w:rsid w:val="00AE6439"/>
    <w:rsid w:val="00B65D6E"/>
    <w:rsid w:val="00BD4A6F"/>
    <w:rsid w:val="00BD612B"/>
    <w:rsid w:val="00CA4118"/>
    <w:rsid w:val="00D03E9B"/>
    <w:rsid w:val="00D25FB9"/>
    <w:rsid w:val="00D34F8E"/>
    <w:rsid w:val="00D64944"/>
    <w:rsid w:val="00DA111C"/>
    <w:rsid w:val="00DA5696"/>
    <w:rsid w:val="00DD6FD7"/>
    <w:rsid w:val="00E256E5"/>
    <w:rsid w:val="00E628DB"/>
    <w:rsid w:val="00EA2312"/>
    <w:rsid w:val="00F34431"/>
    <w:rsid w:val="00F4082A"/>
    <w:rsid w:val="00F54EA9"/>
    <w:rsid w:val="00F7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EEB82"/>
  <w15:chartTrackingRefBased/>
  <w15:docId w15:val="{57AAF248-D031-46D9-8AA0-436E4FF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6E5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691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26913"/>
    <w:rPr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39"/>
    <w:rsid w:val="0011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F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2045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 Jurídico</dc:creator>
  <cp:keywords/>
  <dc:description/>
  <cp:lastModifiedBy>Servicio social Jurídico</cp:lastModifiedBy>
  <cp:revision>6</cp:revision>
  <cp:lastPrinted>2024-12-09T18:44:00Z</cp:lastPrinted>
  <dcterms:created xsi:type="dcterms:W3CDTF">2025-03-12T16:25:00Z</dcterms:created>
  <dcterms:modified xsi:type="dcterms:W3CDTF">2025-03-12T16:41:00Z</dcterms:modified>
</cp:coreProperties>
</file>