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principal"/>
      </w:tblPr>
      <w:tblGrid>
        <w:gridCol w:w="6237"/>
        <w:gridCol w:w="4085"/>
      </w:tblGrid>
      <w:tr w:rsidR="00184664" w:rsidRPr="00A85B6F" w:rsidTr="007E3579">
        <w:tc>
          <w:tcPr>
            <w:tcW w:w="6237" w:type="dxa"/>
            <w:tcBorders>
              <w:right w:val="single" w:sz="12" w:space="0" w:color="FFD556" w:themeColor="accent1"/>
            </w:tcBorders>
            <w:tcMar>
              <w:bottom w:w="0" w:type="dxa"/>
              <w:right w:w="0" w:type="dxa"/>
            </w:tcMar>
          </w:tcPr>
          <w:tbl>
            <w:tblPr>
              <w:tblW w:w="6694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Diseño de tabla de lado izquierdo"/>
            </w:tblPr>
            <w:tblGrid>
              <w:gridCol w:w="6694"/>
            </w:tblGrid>
            <w:tr w:rsidR="00184664" w:rsidRPr="00A85B6F" w:rsidTr="007E3579">
              <w:trPr>
                <w:trHeight w:hRule="exact" w:val="149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</w:tcPr>
                <w:p w:rsidR="00362C4A" w:rsidRPr="00022F35" w:rsidRDefault="004C1BA4" w:rsidP="007E3579">
                  <w:pPr>
                    <w:pStyle w:val="Ttulo2"/>
                    <w:jc w:val="left"/>
                    <w:rPr>
                      <w:b/>
                      <w:sz w:val="40"/>
                    </w:rPr>
                  </w:pPr>
                  <w:sdt>
                    <w:sdtPr>
                      <w:rPr>
                        <w:b/>
                        <w:sz w:val="40"/>
                      </w:rPr>
                      <w:alias w:val="Nombre del destinatario:"/>
                      <w:tag w:val="Nombre del destinatario:"/>
                      <w:id w:val="2044861746"/>
                      <w:placeholder>
                        <w:docPart w:val="A465F88CFC074ACA8F1ED1F9E35A5423"/>
                      </w:placeholder>
                      <w:dataBinding w:prefixMappings="xmlns:ns0='http://schemas.microsoft.com/office/2006/coverPageProps' " w:xpath="/ns0:CoverPageProperties[1]/ns0:CompanyFax[1]" w:storeItemID="{55AF091B-3C7A-41E3-B477-F2FDAA23CFDA}"/>
                      <w15:appearance w15:val="hidden"/>
                      <w:text/>
                    </w:sdtPr>
                    <w:sdtEndPr/>
                    <w:sdtContent>
                      <w:r w:rsidR="00022F35" w:rsidRPr="00022F35">
                        <w:rPr>
                          <w:b/>
                          <w:sz w:val="40"/>
                        </w:rPr>
                        <w:t>PLAN DE TRABAJO</w:t>
                      </w:r>
                    </w:sdtContent>
                  </w:sdt>
                </w:p>
                <w:p w:rsidR="00184664" w:rsidRPr="00A85B6F" w:rsidRDefault="00184664" w:rsidP="00022F35">
                  <w:pPr>
                    <w:pStyle w:val="Ttulo3"/>
                  </w:pPr>
                </w:p>
              </w:tc>
            </w:tr>
            <w:tr w:rsidR="00184664" w:rsidRPr="00A85B6F" w:rsidTr="007E3579">
              <w:trPr>
                <w:trHeight w:val="195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403" w:type="dxa"/>
                  </w:tcMar>
                </w:tcPr>
                <w:p w:rsidR="004670DD" w:rsidRPr="007E3579" w:rsidRDefault="007E3579" w:rsidP="007E3579">
                  <w:pPr>
                    <w:pStyle w:val="Firma"/>
                    <w:jc w:val="center"/>
                    <w:rPr>
                      <w:b/>
                      <w:sz w:val="24"/>
                    </w:rPr>
                  </w:pPr>
                  <w:r w:rsidRPr="007E3579">
                    <w:rPr>
                      <w:b/>
                      <w:sz w:val="24"/>
                    </w:rPr>
                    <w:t>INTEGRANTES</w:t>
                  </w:r>
                </w:p>
                <w:p w:rsidR="007E3579" w:rsidRDefault="007E3579" w:rsidP="007E3579">
                  <w:r>
                    <w:t>REGIDOR PRESIDENTE/ CINDY ESTEFANI GARCIA OROZCO</w:t>
                  </w:r>
                </w:p>
                <w:p w:rsidR="007E3579" w:rsidRDefault="007E3579" w:rsidP="007E3579">
                  <w:r>
                    <w:t>REGIDOR VOCAL/ JUAN JOSE FLORES CHÁVEZ</w:t>
                  </w:r>
                </w:p>
                <w:p w:rsidR="007E3579" w:rsidRDefault="007E3579" w:rsidP="007E3579">
                  <w:r>
                    <w:t>REGIDOR VOCAL/ TANIA MAGDALENA BERNARDINO JUÁREZ</w:t>
                  </w:r>
                </w:p>
                <w:p w:rsidR="007E3579" w:rsidRDefault="007E3579" w:rsidP="007E3579">
                  <w:r>
                    <w:t>REGIDOR VOCAL/ J. JESUS GUERRERO ZÚÑIGA</w:t>
                  </w:r>
                </w:p>
                <w:p w:rsidR="007E3579" w:rsidRPr="007E3579" w:rsidRDefault="007E3579" w:rsidP="007E3579"/>
              </w:tc>
            </w:tr>
          </w:tbl>
          <w:p w:rsidR="00184664" w:rsidRPr="00A85B6F" w:rsidRDefault="00184664" w:rsidP="00CC7AD0"/>
        </w:tc>
        <w:tc>
          <w:tcPr>
            <w:tcW w:w="4085" w:type="dxa"/>
            <w:tcBorders>
              <w:left w:val="single" w:sz="12" w:space="0" w:color="FFD556" w:themeColor="accent1"/>
            </w:tcBorders>
            <w:tcMar>
              <w:bottom w:w="0" w:type="dxa"/>
            </w:tcMar>
          </w:tcPr>
          <w:tbl>
            <w:tblPr>
              <w:tblW w:w="4990" w:type="pct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Tabla de diseño de lado derecho"/>
            </w:tblPr>
            <w:tblGrid>
              <w:gridCol w:w="4047"/>
            </w:tblGrid>
            <w:tr w:rsidR="00184664" w:rsidRPr="00A85B6F" w:rsidTr="006F57E0">
              <w:trPr>
                <w:trHeight w:hRule="exact" w:val="298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0" w:type="dxa"/>
                  </w:tcMar>
                </w:tcPr>
                <w:p w:rsidR="00362C4A" w:rsidRDefault="00362C4A" w:rsidP="00022F35">
                  <w:pPr>
                    <w:pStyle w:val="Ttulo3"/>
                    <w:jc w:val="left"/>
                  </w:pPr>
                </w:p>
                <w:p w:rsidR="00022F35" w:rsidRDefault="00022F35" w:rsidP="00022F35">
                  <w:pPr>
                    <w:pStyle w:val="Ttulo3"/>
                    <w:jc w:val="left"/>
                  </w:pPr>
                </w:p>
                <w:p w:rsidR="00022F35" w:rsidRDefault="00022F35" w:rsidP="00022F35">
                  <w:pPr>
                    <w:pStyle w:val="Ttulo3"/>
                  </w:pPr>
                </w:p>
                <w:p w:rsidR="00022F35" w:rsidRPr="00022F35" w:rsidRDefault="00022F35" w:rsidP="00022F35">
                  <w:pPr>
                    <w:pStyle w:val="Ttulo3"/>
                    <w:rPr>
                      <w:sz w:val="24"/>
                    </w:rPr>
                  </w:pPr>
                  <w:r w:rsidRPr="00022F35">
                    <w:rPr>
                      <w:sz w:val="24"/>
                    </w:rPr>
                    <w:t>H. AYUNTAMIENTO DE ZAPOTLÁN EL GRANDE JALISCO</w:t>
                  </w:r>
                </w:p>
                <w:p w:rsidR="00022F35" w:rsidRPr="00022F35" w:rsidRDefault="00022F35" w:rsidP="00022F35">
                  <w:pPr>
                    <w:pStyle w:val="Ttulo3"/>
                    <w:rPr>
                      <w:sz w:val="24"/>
                    </w:rPr>
                  </w:pPr>
                </w:p>
                <w:p w:rsidR="00022F35" w:rsidRPr="00A85B6F" w:rsidRDefault="00022F35" w:rsidP="00022F35">
                  <w:pPr>
                    <w:pStyle w:val="Ttulo3"/>
                  </w:pPr>
                  <w:r w:rsidRPr="00022F35">
                    <w:rPr>
                      <w:sz w:val="24"/>
                    </w:rPr>
                    <w:t>ADMINISTRACIÓN 2018-2021</w:t>
                  </w:r>
                </w:p>
              </w:tc>
            </w:tr>
          </w:tbl>
          <w:p w:rsidR="006337E6" w:rsidRPr="00A85B6F" w:rsidRDefault="006337E6" w:rsidP="00CC7AD0"/>
        </w:tc>
      </w:tr>
    </w:tbl>
    <w:p w:rsidR="00E95CC3" w:rsidRDefault="00E95CC3" w:rsidP="004670DD">
      <w:pPr>
        <w:pStyle w:val="Sinespaciad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6F2542" wp14:editId="2FF539D5">
                <wp:simplePos x="0" y="0"/>
                <wp:positionH relativeFrom="margin">
                  <wp:posOffset>478155</wp:posOffset>
                </wp:positionH>
                <wp:positionV relativeFrom="paragraph">
                  <wp:posOffset>-1963420</wp:posOffset>
                </wp:positionV>
                <wp:extent cx="2819400" cy="37147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71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579" w:rsidRPr="00E95CC3" w:rsidRDefault="007E3579" w:rsidP="007E3579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CC3">
                              <w:rPr>
                                <w:color w:val="000000" w:themeColor="text1"/>
                                <w:sz w:val="3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PLAN DE TRABAJO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F254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.65pt;margin-top:-154.6pt;width:222pt;height:2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7E3579" w:rsidRPr="00E95CC3" w:rsidRDefault="007E3579" w:rsidP="007E3579">
                      <w:pPr>
                        <w:jc w:val="center"/>
                        <w:rPr>
                          <w:color w:val="000000" w:themeColor="text1"/>
                          <w:sz w:val="3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CC3">
                        <w:rPr>
                          <w:color w:val="000000" w:themeColor="text1"/>
                          <w:sz w:val="3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PLAN DE TRABAJO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95CC3" w:rsidRDefault="00E95CC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905020" wp14:editId="4B5ECC8B">
                <wp:simplePos x="0" y="0"/>
                <wp:positionH relativeFrom="margin">
                  <wp:align>right</wp:align>
                </wp:positionH>
                <wp:positionV relativeFrom="paragraph">
                  <wp:posOffset>410210</wp:posOffset>
                </wp:positionV>
                <wp:extent cx="6543675" cy="4410075"/>
                <wp:effectExtent l="0" t="0" r="28575" b="2857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441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EDC" w:rsidRPr="009E4EDC" w:rsidRDefault="009E4EDC" w:rsidP="00E95CC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95CC3" w:rsidRPr="009E4EDC" w:rsidRDefault="00E95CC3" w:rsidP="00E95CC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4EDC">
                              <w:rPr>
                                <w:b/>
                                <w:color w:val="000000" w:themeColor="text1"/>
                                <w:sz w:val="3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INTRODUCCIÓN</w:t>
                            </w:r>
                          </w:p>
                          <w:p w:rsidR="009E4EDC" w:rsidRPr="009E4EDC" w:rsidRDefault="009E4EDC" w:rsidP="009E4EDC">
                            <w:pPr>
                              <w:pStyle w:val="Sinespaciado"/>
                              <w:jc w:val="both"/>
                              <w:rPr>
                                <w:color w:val="auto"/>
                                <w:sz w:val="28"/>
                              </w:rPr>
                            </w:pPr>
                            <w:r w:rsidRPr="009E4EDC">
                              <w:rPr>
                                <w:color w:val="auto"/>
                                <w:sz w:val="28"/>
                              </w:rPr>
                              <w:t>El presente documento toma como referencia los diversos instrumentos normativos y conceptuales aplicables a la materia, que sirven de apoyo para orientar los esfuerzos y proyectos de esta comisión. La definición más clara de acceso a la justicia se encuentra contenida en la Constitución Política de los Estados Unidos Mexicanos en su artículo 17° al señalar que ninguna persona podrá hacerse justicia por sí misma, ni ejercer violencia para reclamar su derecho, señala también que toda persona tiene derecho a que se le administre justicia por tribunales que estarán expeditos para impartirla en los plazos y términos que fijen las leyes, emitiendo sus resoluciones de manera pronta, completa e imparcial. Su servicio será gratuito, quedando, en consecuencia, prohibidas las costas judiciales. Y al precisar que no se puede ejercer justicia por propia mano, la autoridad se obliga a establecer y promover las instituciones y mecanismos que den solución a los conflictos cotidianos, producto de las relaciones directas entre las personas, y de las personas con la autoridad.</w:t>
                            </w:r>
                          </w:p>
                          <w:p w:rsidR="00E95CC3" w:rsidRPr="009E4EDC" w:rsidRDefault="00E95CC3" w:rsidP="00E95CC3">
                            <w:pPr>
                              <w:jc w:val="both"/>
                              <w:rPr>
                                <w:rFonts w:asciiTheme="majorHAnsi" w:hAnsiTheme="majorHAnsi"/>
                                <w:color w:val="auto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05020" id="_x0000_s1027" type="#_x0000_t202" style="position:absolute;margin-left:464.05pt;margin-top:32.3pt;width:515.25pt;height:347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">
                <v:textbox>
                  <w:txbxContent>
                    <w:p w:rsidR="009E4EDC" w:rsidRPr="009E4EDC" w:rsidRDefault="009E4EDC" w:rsidP="00E95CC3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95CC3" w:rsidRPr="009E4EDC" w:rsidRDefault="00E95CC3" w:rsidP="00E95CC3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4EDC">
                        <w:rPr>
                          <w:b/>
                          <w:color w:val="000000" w:themeColor="text1"/>
                          <w:sz w:val="3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INTRODUCCIÓN</w:t>
                      </w:r>
                    </w:p>
                    <w:p w:rsidR="009E4EDC" w:rsidRPr="009E4EDC" w:rsidRDefault="009E4EDC" w:rsidP="009E4EDC">
                      <w:pPr>
                        <w:pStyle w:val="Sinespaciado"/>
                        <w:jc w:val="both"/>
                        <w:rPr>
                          <w:color w:val="auto"/>
                          <w:sz w:val="28"/>
                        </w:rPr>
                      </w:pPr>
                      <w:r w:rsidRPr="009E4EDC">
                        <w:rPr>
                          <w:color w:val="auto"/>
                          <w:sz w:val="28"/>
                        </w:rPr>
                        <w:t>El presente documento toma como referencia los diversos instrumentos normativos y conceptuales aplicables a la materia, que sirven de apoyo para orientar los esfuerzos y proyectos de esta comisión. La definición más clara de acceso a la justicia se encuentra contenida en la Constitución Política de los Estados Unidos Mexicanos en su artículo 17° al señalar que ninguna persona podrá hacerse justicia por sí misma, ni ejercer violencia para reclamar su derecho, señala también que toda persona tiene derecho a que se le administre justicia por tribunales que estarán expeditos para impartirla en los plazos y términos que fijen las leyes, emitiendo sus resoluciones de manera pronta, completa e imparcial. Su servicio será gratuito, quedando, en consecuencia, prohibidas las costas judiciales. Y al precisar que no se puede ejercer justicia por propia mano, la autoridad se obliga a establecer y promover las instituciones y mecanismos que den solución a los conflictos cotidianos, producto de las relaciones directas entre las personas, y de las personas con la autoridad.</w:t>
                      </w:r>
                    </w:p>
                    <w:p w:rsidR="00E95CC3" w:rsidRPr="009E4EDC" w:rsidRDefault="00E95CC3" w:rsidP="00E95CC3">
                      <w:pPr>
                        <w:jc w:val="both"/>
                        <w:rPr>
                          <w:rFonts w:asciiTheme="majorHAnsi" w:hAnsiTheme="majorHAnsi"/>
                          <w:color w:val="auto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:rsidR="009E4EDC" w:rsidRDefault="009E4EDC" w:rsidP="009E4EDC">
      <w:pPr>
        <w:jc w:val="center"/>
        <w:rPr>
          <w:b/>
          <w:color w:val="000000" w:themeColor="text1"/>
          <w:sz w:val="22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E4EDC" w:rsidRPr="00E95CC3" w:rsidRDefault="009E4EDC" w:rsidP="009E4EDC">
      <w:pPr>
        <w:jc w:val="center"/>
        <w:rPr>
          <w:b/>
          <w:color w:val="000000" w:themeColor="text1"/>
          <w:sz w:val="22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5CC3">
        <w:rPr>
          <w:b/>
          <w:color w:val="000000" w:themeColor="text1"/>
          <w:sz w:val="22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LEY DE GOBIERNO Y LA ADMINISTRACIÓN PÚBLICA MUNICIPAL DEL ESTADO DE JALISCO</w:t>
      </w:r>
    </w:p>
    <w:p w:rsidR="009E4EDC" w:rsidRPr="00E95CC3" w:rsidRDefault="009E4EDC" w:rsidP="009E4EDC">
      <w:pPr>
        <w:pStyle w:val="Default"/>
        <w:jc w:val="both"/>
        <w:rPr>
          <w:rFonts w:asciiTheme="majorHAnsi" w:hAnsiTheme="majorHAnsi"/>
          <w:color w:val="auto"/>
          <w:sz w:val="28"/>
          <w:szCs w:val="20"/>
        </w:rPr>
      </w:pPr>
      <w:r w:rsidRPr="00E95CC3">
        <w:rPr>
          <w:rFonts w:asciiTheme="majorHAnsi" w:hAnsiTheme="majorHAnsi"/>
          <w:b/>
          <w:bCs/>
          <w:color w:val="auto"/>
          <w:szCs w:val="20"/>
        </w:rPr>
        <w:t>Artículo 27</w:t>
      </w:r>
      <w:r>
        <w:rPr>
          <w:rFonts w:asciiTheme="majorHAnsi" w:hAnsiTheme="majorHAnsi"/>
          <w:color w:val="auto"/>
          <w:szCs w:val="20"/>
        </w:rPr>
        <w:t>.</w:t>
      </w:r>
      <w:r w:rsidRPr="00E95CC3">
        <w:rPr>
          <w:rFonts w:asciiTheme="majorHAnsi" w:hAnsiTheme="majorHAnsi"/>
          <w:color w:val="auto"/>
          <w:sz w:val="28"/>
          <w:szCs w:val="20"/>
        </w:rPr>
        <w:t xml:space="preserve">Los Ayuntamientos, para el estudio, vigilancia y atención de los diversos asuntos que les corresponda conocer, deben funcionar mediante comisiones. </w:t>
      </w:r>
    </w:p>
    <w:p w:rsidR="009E4EDC" w:rsidRPr="00E95CC3" w:rsidRDefault="009E4EDC" w:rsidP="009E4EDC">
      <w:pPr>
        <w:pStyle w:val="Default"/>
        <w:jc w:val="both"/>
        <w:rPr>
          <w:rFonts w:asciiTheme="majorHAnsi" w:hAnsiTheme="majorHAnsi"/>
          <w:color w:val="auto"/>
          <w:sz w:val="28"/>
          <w:szCs w:val="20"/>
        </w:rPr>
      </w:pPr>
      <w:r w:rsidRPr="00E95CC3">
        <w:rPr>
          <w:rFonts w:asciiTheme="majorHAnsi" w:hAnsiTheme="majorHAnsi"/>
          <w:color w:val="auto"/>
          <w:sz w:val="28"/>
          <w:szCs w:val="20"/>
        </w:rPr>
        <w:t xml:space="preserve">Los ediles pueden eximirse de presidir comisiones, pero cada munícipe debe estar integrado por lo menos a dos comisiones, en los términos de la reglamentación respectiva. </w:t>
      </w:r>
    </w:p>
    <w:p w:rsidR="009E4EDC" w:rsidRPr="00E95CC3" w:rsidRDefault="009E4EDC" w:rsidP="009E4EDC">
      <w:pPr>
        <w:pStyle w:val="Default"/>
        <w:jc w:val="both"/>
        <w:rPr>
          <w:rFonts w:asciiTheme="majorHAnsi" w:hAnsiTheme="majorHAnsi"/>
          <w:color w:val="auto"/>
          <w:sz w:val="28"/>
          <w:szCs w:val="20"/>
        </w:rPr>
      </w:pPr>
      <w:r w:rsidRPr="00E95CC3">
        <w:rPr>
          <w:rFonts w:asciiTheme="majorHAnsi" w:hAnsiTheme="majorHAnsi"/>
          <w:color w:val="auto"/>
          <w:sz w:val="28"/>
          <w:szCs w:val="20"/>
        </w:rPr>
        <w:t xml:space="preserve">La denominación de las comisiones, sus características, obligaciones y facultades, deben ser establecidas en los reglamentos que para tal efecto expida el Ayuntamiento. </w:t>
      </w:r>
    </w:p>
    <w:p w:rsidR="009E4EDC" w:rsidRPr="00E95CC3" w:rsidRDefault="009E4EDC" w:rsidP="009E4EDC">
      <w:pPr>
        <w:pStyle w:val="Default"/>
        <w:jc w:val="both"/>
        <w:rPr>
          <w:rFonts w:asciiTheme="majorHAnsi" w:hAnsiTheme="majorHAnsi"/>
          <w:color w:val="auto"/>
          <w:sz w:val="28"/>
          <w:szCs w:val="20"/>
        </w:rPr>
      </w:pPr>
      <w:r w:rsidRPr="00E95CC3">
        <w:rPr>
          <w:rFonts w:asciiTheme="majorHAnsi" w:hAnsiTheme="majorHAnsi"/>
          <w:color w:val="auto"/>
          <w:sz w:val="28"/>
          <w:szCs w:val="20"/>
        </w:rPr>
        <w:t xml:space="preserve">Las comisiones pueden ser permanentes o transitorias, con integración preferentemente colegiada para su funcionamiento y desempeño, y bajo ninguna circunstancia pueden tener facultades ejecutivas. </w:t>
      </w:r>
    </w:p>
    <w:p w:rsidR="009E4EDC" w:rsidRPr="00E95CC3" w:rsidRDefault="009E4EDC" w:rsidP="009E4EDC">
      <w:pPr>
        <w:jc w:val="both"/>
        <w:rPr>
          <w:rFonts w:asciiTheme="majorHAnsi" w:hAnsiTheme="majorHAnsi"/>
          <w:color w:val="auto"/>
          <w:sz w:val="44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5CC3">
        <w:rPr>
          <w:rFonts w:asciiTheme="majorHAnsi" w:hAnsiTheme="majorHAnsi"/>
          <w:color w:val="auto"/>
          <w:sz w:val="28"/>
        </w:rPr>
        <w:t>Las reuniones que celebren las comisiones son públicas por regla general, salvo que sus integrantes decidan, por causas justificadas y de conformidad con sus disposiciones reglamentarias aplicables, que se celebren de forma reservada.</w:t>
      </w:r>
    </w:p>
    <w:p w:rsidR="009E4EDC" w:rsidRPr="009E4EDC" w:rsidRDefault="009E4EDC" w:rsidP="009E4EDC">
      <w:pPr>
        <w:pStyle w:val="Sinespaciado"/>
        <w:jc w:val="center"/>
        <w:rPr>
          <w:b/>
          <w:color w:val="FFC000" w:themeColor="accent4"/>
          <w:sz w:val="28"/>
          <w:lang w:val="es-MX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9E4EDC" w:rsidRDefault="009E4EDC" w:rsidP="009E4EDC">
      <w:pPr>
        <w:pStyle w:val="Sinespaciado"/>
        <w:jc w:val="center"/>
        <w:rPr>
          <w:b/>
          <w:color w:val="FFC000" w:themeColor="accent4"/>
          <w:sz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9E4EDC" w:rsidRDefault="009E4EDC" w:rsidP="009E4EDC">
      <w:pPr>
        <w:pStyle w:val="Sinespaciado"/>
        <w:jc w:val="center"/>
        <w:rPr>
          <w:b/>
          <w:color w:val="FFC000" w:themeColor="accent4"/>
          <w:sz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E4EDC">
        <w:rPr>
          <w:b/>
          <w:noProof/>
          <w:color w:val="FFC000" w:themeColor="accent4"/>
          <w:sz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1E5140" wp14:editId="411FDD31">
                <wp:simplePos x="0" y="0"/>
                <wp:positionH relativeFrom="margin">
                  <wp:align>right</wp:align>
                </wp:positionH>
                <wp:positionV relativeFrom="paragraph">
                  <wp:posOffset>534670</wp:posOffset>
                </wp:positionV>
                <wp:extent cx="6534150" cy="4448175"/>
                <wp:effectExtent l="0" t="0" r="19050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444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EDC" w:rsidRDefault="009E4EDC" w:rsidP="009E4EDC">
                            <w:pPr>
                              <w:jc w:val="both"/>
                              <w:rPr>
                                <w:b/>
                                <w:color w:val="auto"/>
                                <w:sz w:val="24"/>
                              </w:rPr>
                            </w:pPr>
                          </w:p>
                          <w:p w:rsidR="009E4EDC" w:rsidRPr="009E4EDC" w:rsidRDefault="009E4EDC" w:rsidP="009E4EDC">
                            <w:pPr>
                              <w:jc w:val="both"/>
                              <w:rPr>
                                <w:b/>
                                <w:i/>
                                <w:color w:val="auto"/>
                                <w:sz w:val="28"/>
                              </w:rPr>
                            </w:pPr>
                            <w:r w:rsidRPr="009E4EDC">
                              <w:rPr>
                                <w:b/>
                                <w:color w:val="auto"/>
                                <w:sz w:val="28"/>
                              </w:rPr>
                              <w:t>Artículo 61.-</w:t>
                            </w:r>
                            <w:r w:rsidRPr="009E4EDC">
                              <w:rPr>
                                <w:color w:val="auto"/>
                                <w:sz w:val="28"/>
                              </w:rPr>
                              <w:t xml:space="preserve"> </w:t>
                            </w:r>
                            <w:r w:rsidRPr="009E4EDC">
                              <w:rPr>
                                <w:b/>
                                <w:i/>
                                <w:color w:val="auto"/>
                                <w:sz w:val="28"/>
                              </w:rPr>
                              <w:t>La Comisión Edilicia de Justicia tiene las siguientes atribuciones:</w:t>
                            </w:r>
                          </w:p>
                          <w:p w:rsidR="009E4EDC" w:rsidRPr="009E4EDC" w:rsidRDefault="009E4EDC" w:rsidP="009E4EDC">
                            <w:pPr>
                              <w:jc w:val="both"/>
                              <w:rPr>
                                <w:color w:val="auto"/>
                                <w:sz w:val="28"/>
                              </w:rPr>
                            </w:pPr>
                            <w:r w:rsidRPr="009E4EDC">
                              <w:rPr>
                                <w:color w:val="auto"/>
                                <w:sz w:val="28"/>
                              </w:rPr>
                              <w:t>I. Proponer, analizar, estudiar y dictaminar las iniciativas relativas a las atribuciones de los jueces municipales; II. Evaluar los trabajos de las dependencias municipales con funciones en materia de Registro Civil y los juzgados municipales y con base en sus resultados y a las necesidades operantes, proponer las medidas pertinentes para orientar la política que sobre la justicia municipal deba emprender el municipio; IV. Estudiar y proponer la celebración de contratos, convenios o acuerdos de coordinación con autoridades de los distintos niveles de gobierno o con los particulares que tengan injerencia respecto del Registro Civil; V. Estudiar la estructura orgánica de la administración municipal, para efecto de proponer medios de mayor eficiencia y simplificación administrativa ante la población, en miras a obtener la mejor atención en la prestación de los servicios públicos; y VI. En general las que les confieran las leyes y reglamentos, así como las que se deriven de los acuerdos de Ayuntamiento.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E5140" id="_x0000_s1028" type="#_x0000_t202" style="position:absolute;left:0;text-align:left;margin-left:463.3pt;margin-top:42.1pt;width:514.5pt;height:350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">
                <v:textbox>
                  <w:txbxContent>
                    <w:p w:rsidR="009E4EDC" w:rsidRDefault="009E4EDC" w:rsidP="009E4EDC">
                      <w:pPr>
                        <w:jc w:val="both"/>
                        <w:rPr>
                          <w:b/>
                          <w:color w:val="auto"/>
                          <w:sz w:val="24"/>
                        </w:rPr>
                      </w:pPr>
                    </w:p>
                    <w:p w:rsidR="009E4EDC" w:rsidRPr="009E4EDC" w:rsidRDefault="009E4EDC" w:rsidP="009E4EDC">
                      <w:pPr>
                        <w:jc w:val="both"/>
                        <w:rPr>
                          <w:b/>
                          <w:i/>
                          <w:color w:val="auto"/>
                          <w:sz w:val="28"/>
                        </w:rPr>
                      </w:pPr>
                      <w:r w:rsidRPr="009E4EDC">
                        <w:rPr>
                          <w:b/>
                          <w:color w:val="auto"/>
                          <w:sz w:val="28"/>
                        </w:rPr>
                        <w:t>Artículo 61.-</w:t>
                      </w:r>
                      <w:r w:rsidRPr="009E4EDC">
                        <w:rPr>
                          <w:color w:val="auto"/>
                          <w:sz w:val="28"/>
                        </w:rPr>
                        <w:t xml:space="preserve"> </w:t>
                      </w:r>
                      <w:r w:rsidRPr="009E4EDC">
                        <w:rPr>
                          <w:b/>
                          <w:i/>
                          <w:color w:val="auto"/>
                          <w:sz w:val="28"/>
                        </w:rPr>
                        <w:t>La Comisión Edilicia de Justicia tiene las siguientes atribuciones:</w:t>
                      </w:r>
                    </w:p>
                    <w:p w:rsidR="009E4EDC" w:rsidRPr="009E4EDC" w:rsidRDefault="009E4EDC" w:rsidP="009E4EDC">
                      <w:pPr>
                        <w:jc w:val="both"/>
                        <w:rPr>
                          <w:color w:val="auto"/>
                          <w:sz w:val="28"/>
                        </w:rPr>
                      </w:pPr>
                      <w:r w:rsidRPr="009E4EDC">
                        <w:rPr>
                          <w:color w:val="auto"/>
                          <w:sz w:val="28"/>
                        </w:rPr>
                        <w:t>I. Proponer, analizar, estudiar y dictaminar las iniciativas relativas a las atribuciones de los jueces municipales; II. Evaluar los trabajos de las dependencias municipales con funciones en materia de Registro Civil y los juzgados municipales y con base en sus resultados y a las necesidades operantes, proponer las medidas pertinentes para orientar la política que sobre la justicia municipal deba emprender el municipio; IV. Estudiar y proponer la celebración de contratos, convenios o acuerdos de coordinación con autoridades de los distintos niveles de gobierno o con los particulares que tengan injerencia respecto del Registro Civil; V. Estudiar la estructura orgánica de la administración municipal, para efecto de proponer medios de mayor eficiencia y simplificación administrativa ante la población, en miras a obtener la mejor atención en la prestación de los servicios públicos; y VI. En general las que les confieran las leyes y reglamentos, así como las que se deriven de los acuerdos de Ayuntamiento.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CC3" w:rsidRPr="00E95CC3">
        <w:rPr>
          <w:b/>
          <w:color w:val="FFC000" w:themeColor="accent4"/>
          <w:sz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FACULTADES DE LA COMISIÓN EDILICIA DE</w:t>
      </w:r>
      <w:r>
        <w:rPr>
          <w:b/>
          <w:color w:val="FFC000" w:themeColor="accent4"/>
          <w:sz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JUSTICIA DE</w:t>
      </w:r>
      <w:r w:rsidR="00E95CC3" w:rsidRPr="00E95CC3">
        <w:rPr>
          <w:b/>
          <w:color w:val="FFC000" w:themeColor="accent4"/>
          <w:sz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ACUERDO AL REGLAMENTO INTERNO DEL MUNICIPIO</w:t>
      </w:r>
    </w:p>
    <w:p w:rsidR="009E4EDC" w:rsidRDefault="009E4EDC" w:rsidP="004F62CE">
      <w:pPr>
        <w:pStyle w:val="Sinespaciado"/>
        <w:jc w:val="center"/>
        <w:rPr>
          <w:b/>
          <w:color w:val="FFC000" w:themeColor="accent4"/>
          <w:sz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9E4EDC" w:rsidRDefault="009E4EDC" w:rsidP="004F62CE">
      <w:pPr>
        <w:pStyle w:val="Sinespaciado"/>
        <w:jc w:val="center"/>
      </w:pPr>
    </w:p>
    <w:p w:rsidR="009E4EDC" w:rsidRDefault="004F62CE" w:rsidP="004F62CE">
      <w:pPr>
        <w:pStyle w:val="Sinespaciado"/>
        <w:jc w:val="center"/>
        <w:rPr>
          <w:color w:val="auto"/>
          <w:sz w:val="28"/>
        </w:rPr>
      </w:pPr>
      <w:r>
        <w:rPr>
          <w:b/>
          <w:color w:val="auto"/>
          <w:sz w:val="28"/>
        </w:rPr>
        <w:t>OBJETIVO GENERAL</w:t>
      </w:r>
    </w:p>
    <w:p w:rsidR="004F62CE" w:rsidRDefault="009E4EDC" w:rsidP="009E4EDC">
      <w:pPr>
        <w:pStyle w:val="Sinespaciado"/>
        <w:jc w:val="both"/>
        <w:rPr>
          <w:color w:val="auto"/>
          <w:sz w:val="28"/>
        </w:rPr>
      </w:pPr>
      <w:r w:rsidRPr="009E4EDC">
        <w:rPr>
          <w:color w:val="auto"/>
          <w:sz w:val="28"/>
        </w:rPr>
        <w:t>fortalecer la implementación del nuevo modelo de Justicia Cívica que fomenten una cultura de paz y legalidad en el municipio y que permita la atención de conductas adversas al bando de Policía y Buen Gobierno antes de que estas conductas escalen a niveles delictivos, teniendo como principal herramienta la utilización de métodos alternos de solución de conflictos.</w:t>
      </w:r>
    </w:p>
    <w:p w:rsidR="004F62CE" w:rsidRPr="004F62CE" w:rsidRDefault="004F62CE" w:rsidP="009E4EDC">
      <w:pPr>
        <w:pStyle w:val="Sinespaciado"/>
        <w:jc w:val="both"/>
        <w:rPr>
          <w:b/>
          <w:color w:val="auto"/>
          <w:sz w:val="28"/>
        </w:rPr>
      </w:pPr>
    </w:p>
    <w:p w:rsidR="004F62CE" w:rsidRDefault="004F62CE" w:rsidP="004F62CE">
      <w:pPr>
        <w:pStyle w:val="Sinespaciado"/>
        <w:jc w:val="center"/>
        <w:rPr>
          <w:b/>
          <w:color w:val="auto"/>
          <w:sz w:val="28"/>
        </w:rPr>
      </w:pPr>
      <w:r w:rsidRPr="004F62CE">
        <w:rPr>
          <w:b/>
          <w:color w:val="auto"/>
          <w:sz w:val="28"/>
        </w:rPr>
        <w:t xml:space="preserve">OBJETIVOS ESPECÍFICOS </w:t>
      </w:r>
    </w:p>
    <w:p w:rsidR="004F62CE" w:rsidRDefault="004F62CE" w:rsidP="004F62CE">
      <w:pPr>
        <w:pStyle w:val="Sinespaciado"/>
        <w:jc w:val="center"/>
        <w:rPr>
          <w:color w:val="auto"/>
          <w:sz w:val="28"/>
        </w:rPr>
      </w:pPr>
      <w:r>
        <w:rPr>
          <w:b/>
          <w:color w:val="auto"/>
          <w:sz w:val="28"/>
        </w:rPr>
        <w:t>MARCO LEGAL</w:t>
      </w:r>
    </w:p>
    <w:p w:rsidR="004F62CE" w:rsidRDefault="009E4EDC" w:rsidP="004F62CE">
      <w:pPr>
        <w:pStyle w:val="Sinespaciado"/>
        <w:numPr>
          <w:ilvl w:val="0"/>
          <w:numId w:val="1"/>
        </w:numPr>
        <w:jc w:val="both"/>
        <w:rPr>
          <w:color w:val="auto"/>
          <w:sz w:val="28"/>
        </w:rPr>
      </w:pPr>
      <w:r w:rsidRPr="009E4EDC">
        <w:rPr>
          <w:color w:val="auto"/>
          <w:sz w:val="28"/>
        </w:rPr>
        <w:t>Vigilancia del cumplimiento de la normatividad aplicable.</w:t>
      </w:r>
    </w:p>
    <w:p w:rsidR="004F62CE" w:rsidRDefault="009E4EDC" w:rsidP="004F62CE">
      <w:pPr>
        <w:pStyle w:val="Sinespaciado"/>
        <w:numPr>
          <w:ilvl w:val="0"/>
          <w:numId w:val="1"/>
        </w:numPr>
        <w:jc w:val="both"/>
        <w:rPr>
          <w:color w:val="auto"/>
          <w:sz w:val="28"/>
        </w:rPr>
      </w:pPr>
      <w:r w:rsidRPr="009E4EDC">
        <w:rPr>
          <w:color w:val="auto"/>
          <w:sz w:val="28"/>
        </w:rPr>
        <w:t>Creación de un nuevo ordenamiento de policía y buen gobierno, en coadyuvancia con las áreas municipales responsables de su aplicación, de acuerdo con los componentes y subcomponentes del nuevo Modelo H</w:t>
      </w:r>
      <w:r w:rsidR="004F62CE">
        <w:rPr>
          <w:color w:val="auto"/>
          <w:sz w:val="28"/>
        </w:rPr>
        <w:t xml:space="preserve">omologado de Justicia Cívica. </w:t>
      </w:r>
    </w:p>
    <w:p w:rsidR="009E4EDC" w:rsidRPr="004F62CE" w:rsidRDefault="009E4EDC" w:rsidP="004F62CE">
      <w:pPr>
        <w:pStyle w:val="Sinespaciado"/>
        <w:numPr>
          <w:ilvl w:val="0"/>
          <w:numId w:val="1"/>
        </w:numPr>
        <w:jc w:val="both"/>
        <w:rPr>
          <w:b/>
          <w:color w:val="auto"/>
          <w:sz w:val="40"/>
          <w:lang w:val="es-MX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E4EDC">
        <w:rPr>
          <w:color w:val="auto"/>
          <w:sz w:val="28"/>
        </w:rPr>
        <w:t>Análisis y en su caso propuestas de reforma de los instrumentos normativos municipales en armonía con otros ordenamientos del orden estatal y federal en materia de justicia cívica.</w:t>
      </w:r>
    </w:p>
    <w:p w:rsidR="004F62CE" w:rsidRDefault="004F62CE" w:rsidP="004F62CE">
      <w:pPr>
        <w:pStyle w:val="Sinespaciado"/>
        <w:jc w:val="both"/>
        <w:rPr>
          <w:color w:val="auto"/>
          <w:sz w:val="28"/>
        </w:rPr>
      </w:pPr>
    </w:p>
    <w:p w:rsidR="004F62CE" w:rsidRDefault="004F62CE" w:rsidP="004F62CE">
      <w:pPr>
        <w:pStyle w:val="Sinespaciado"/>
        <w:jc w:val="both"/>
        <w:rPr>
          <w:color w:val="auto"/>
          <w:sz w:val="28"/>
        </w:rPr>
      </w:pPr>
    </w:p>
    <w:p w:rsidR="004F62CE" w:rsidRPr="009E4EDC" w:rsidRDefault="004F62CE" w:rsidP="004F62CE">
      <w:pPr>
        <w:pStyle w:val="Sinespaciado"/>
        <w:jc w:val="both"/>
        <w:rPr>
          <w:b/>
          <w:color w:val="auto"/>
          <w:sz w:val="40"/>
          <w:lang w:val="es-MX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bookmarkStart w:id="0" w:name="_GoBack"/>
      <w:bookmarkEnd w:id="0"/>
    </w:p>
    <w:sectPr w:rsidR="004F62CE" w:rsidRPr="009E4EDC" w:rsidSect="00FA31AB">
      <w:footerReference w:type="default" r:id="rId8"/>
      <w:headerReference w:type="first" r:id="rId9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F35" w:rsidRDefault="00022F35" w:rsidP="008B2920">
      <w:pPr>
        <w:spacing w:after="0" w:line="240" w:lineRule="auto"/>
      </w:pPr>
      <w:r>
        <w:separator/>
      </w:r>
    </w:p>
  </w:endnote>
  <w:endnote w:type="continuationSeparator" w:id="0">
    <w:p w:rsidR="00022F35" w:rsidRDefault="00022F35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RDefault="00853CE2" w:rsidP="00853CE2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4C1BA4">
          <w:rPr>
            <w:noProof/>
            <w:lang w:bidi="es-ES"/>
          </w:rPr>
          <w:t>3</w:t>
        </w:r>
        <w:r>
          <w:rPr>
            <w:noProof/>
            <w:lang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F35" w:rsidRDefault="00022F35" w:rsidP="008B2920">
      <w:pPr>
        <w:spacing w:after="0" w:line="240" w:lineRule="auto"/>
      </w:pPr>
      <w:r>
        <w:separator/>
      </w:r>
    </w:p>
  </w:footnote>
  <w:footnote w:type="continuationSeparator" w:id="0">
    <w:p w:rsidR="00022F35" w:rsidRDefault="00022F35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Tabla de diseño de encabezado"/>
    </w:tblPr>
    <w:tblGrid>
      <w:gridCol w:w="10292"/>
    </w:tblGrid>
    <w:tr w:rsidR="00A85B6F" w:rsidTr="00142F58">
      <w:sdt>
        <w:sdtPr>
          <w:rPr>
            <w:b/>
            <w:sz w:val="28"/>
          </w:rPr>
          <w:alias w:val="Su nombre:"/>
          <w:tag w:val="Su nombre:"/>
          <w:id w:val="-1685667604"/>
          <w:placeholder>
            <w:docPart w:val="EB740438F73D4E749C67A410AF6280EF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/>
        </w:sdtPr>
        <w:sdtEndPr/>
        <w:sdtContent>
          <w:tc>
            <w:tcPr>
              <w:tcW w:w="9340" w:type="dxa"/>
              <w:tcBorders>
                <w:bottom w:val="single" w:sz="12" w:space="0" w:color="FFD556" w:themeColor="accent1"/>
              </w:tcBorders>
            </w:tcPr>
            <w:p w:rsidR="00A85B6F" w:rsidRDefault="00022F35" w:rsidP="00022F35">
              <w:pPr>
                <w:pStyle w:val="Ttulo1"/>
              </w:pPr>
              <w:r w:rsidRPr="00022F35">
                <w:rPr>
                  <w:b/>
                  <w:sz w:val="28"/>
                  <w:lang w:val="es-MX"/>
                </w:rPr>
                <w:t>comisión</w:t>
              </w:r>
              <w:r>
                <w:rPr>
                  <w:b/>
                  <w:sz w:val="28"/>
                  <w:lang w:val="es-MX"/>
                </w:rPr>
                <w:t xml:space="preserve"> edilicia permanente de justicia</w:t>
              </w:r>
            </w:p>
          </w:tc>
        </w:sdtContent>
      </w:sdt>
    </w:tr>
    <w:tr w:rsidR="00142F58" w:rsidTr="00142F58"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42F58" w:rsidRDefault="00142F58" w:rsidP="00142F58"/>
      </w:tc>
    </w:tr>
  </w:tbl>
  <w:p w:rsidR="00BD5EFB" w:rsidRDefault="00BD5EF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41F90"/>
    <w:multiLevelType w:val="hybridMultilevel"/>
    <w:tmpl w:val="2C703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35"/>
    <w:rsid w:val="00022F35"/>
    <w:rsid w:val="000243D1"/>
    <w:rsid w:val="00057F04"/>
    <w:rsid w:val="000A378C"/>
    <w:rsid w:val="0010042F"/>
    <w:rsid w:val="00135C2C"/>
    <w:rsid w:val="00142F58"/>
    <w:rsid w:val="00153ED4"/>
    <w:rsid w:val="00184664"/>
    <w:rsid w:val="001D5162"/>
    <w:rsid w:val="001F60D3"/>
    <w:rsid w:val="0027115C"/>
    <w:rsid w:val="00293B83"/>
    <w:rsid w:val="00344C1D"/>
    <w:rsid w:val="00362C4A"/>
    <w:rsid w:val="00390414"/>
    <w:rsid w:val="003B5B09"/>
    <w:rsid w:val="003E1711"/>
    <w:rsid w:val="0045425A"/>
    <w:rsid w:val="00454631"/>
    <w:rsid w:val="00463A38"/>
    <w:rsid w:val="004670DD"/>
    <w:rsid w:val="0048346B"/>
    <w:rsid w:val="004C1BA4"/>
    <w:rsid w:val="004E4CA5"/>
    <w:rsid w:val="004F62CE"/>
    <w:rsid w:val="00502D70"/>
    <w:rsid w:val="00510920"/>
    <w:rsid w:val="005B0E81"/>
    <w:rsid w:val="00630D36"/>
    <w:rsid w:val="006337E6"/>
    <w:rsid w:val="006A3CE7"/>
    <w:rsid w:val="006B155A"/>
    <w:rsid w:val="006C6DEF"/>
    <w:rsid w:val="006F1734"/>
    <w:rsid w:val="006F57E0"/>
    <w:rsid w:val="00781D13"/>
    <w:rsid w:val="00783C41"/>
    <w:rsid w:val="00787503"/>
    <w:rsid w:val="007E3579"/>
    <w:rsid w:val="007E7032"/>
    <w:rsid w:val="0081149D"/>
    <w:rsid w:val="00833359"/>
    <w:rsid w:val="00853CE2"/>
    <w:rsid w:val="00860491"/>
    <w:rsid w:val="00887A77"/>
    <w:rsid w:val="008B2920"/>
    <w:rsid w:val="008B2DF7"/>
    <w:rsid w:val="009039F1"/>
    <w:rsid w:val="009244EC"/>
    <w:rsid w:val="009B1F61"/>
    <w:rsid w:val="009E4EDC"/>
    <w:rsid w:val="00A213B1"/>
    <w:rsid w:val="00A50A33"/>
    <w:rsid w:val="00A85B6F"/>
    <w:rsid w:val="00AA3476"/>
    <w:rsid w:val="00AA6B7B"/>
    <w:rsid w:val="00AB1351"/>
    <w:rsid w:val="00AB540C"/>
    <w:rsid w:val="00AC5D83"/>
    <w:rsid w:val="00B41780"/>
    <w:rsid w:val="00B50F9D"/>
    <w:rsid w:val="00B56F21"/>
    <w:rsid w:val="00B67DB0"/>
    <w:rsid w:val="00BD5EFB"/>
    <w:rsid w:val="00C35EFB"/>
    <w:rsid w:val="00C73037"/>
    <w:rsid w:val="00CD7978"/>
    <w:rsid w:val="00D2689C"/>
    <w:rsid w:val="00DF6A6F"/>
    <w:rsid w:val="00E20402"/>
    <w:rsid w:val="00E7158F"/>
    <w:rsid w:val="00E928A3"/>
    <w:rsid w:val="00E95CC3"/>
    <w:rsid w:val="00F67FBA"/>
    <w:rsid w:val="00F879CE"/>
    <w:rsid w:val="00FA31AB"/>
    <w:rsid w:val="00FB4333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B060E0-A8AD-4D48-91F5-7011BA90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636A6B" w:themeColor="text2"/>
        <w:lang w:val="es-ES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631"/>
  </w:style>
  <w:style w:type="paragraph" w:styleId="Ttulo1">
    <w:name w:val="heading 1"/>
    <w:basedOn w:val="Normal"/>
    <w:link w:val="Ttulo1Car"/>
    <w:uiPriority w:val="9"/>
    <w:qFormat/>
    <w:rsid w:val="00CD7978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A50A33"/>
    <w:pPr>
      <w:keepNext/>
      <w:keepLines/>
      <w:spacing w:before="840"/>
      <w:contextualSpacing/>
      <w:jc w:val="center"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3B5B09"/>
    <w:pPr>
      <w:keepNext/>
      <w:keepLines/>
      <w:contextualSpacing/>
      <w:jc w:val="center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4C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FFBF00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E4C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FFBF00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7978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50A33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B5B09"/>
    <w:rPr>
      <w:rFonts w:asciiTheme="majorHAnsi" w:eastAsiaTheme="majorEastAsia" w:hAnsiTheme="majorHAnsi" w:cstheme="majorBidi"/>
      <w:b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85B6F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B6F"/>
  </w:style>
  <w:style w:type="paragraph" w:styleId="Piedepgina">
    <w:name w:val="footer"/>
    <w:basedOn w:val="Normal"/>
    <w:link w:val="PiedepginaCar"/>
    <w:uiPriority w:val="99"/>
    <w:unhideWhenUsed/>
    <w:rsid w:val="00510920"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920"/>
  </w:style>
  <w:style w:type="character" w:customStyle="1" w:styleId="Ttulo4Car">
    <w:name w:val="Título 4 Car"/>
    <w:basedOn w:val="Fuentedeprrafopredeter"/>
    <w:link w:val="Ttulo4"/>
    <w:uiPriority w:val="9"/>
    <w:semiHidden/>
    <w:rsid w:val="004E4CA5"/>
    <w:rPr>
      <w:rFonts w:asciiTheme="majorHAnsi" w:eastAsiaTheme="majorEastAsia" w:hAnsiTheme="majorHAnsi" w:cstheme="majorBidi"/>
      <w:i/>
      <w:iCs/>
      <w:color w:val="FFBF00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E4CA5"/>
    <w:rPr>
      <w:rFonts w:asciiTheme="majorHAnsi" w:eastAsiaTheme="majorEastAsia" w:hAnsiTheme="majorHAnsi" w:cstheme="majorBidi"/>
      <w:color w:val="FFBF00" w:themeColor="accent1" w:themeShade="BF"/>
    </w:rPr>
  </w:style>
  <w:style w:type="character" w:styleId="Textodelmarcadordeposicin">
    <w:name w:val="Placeholder Text"/>
    <w:basedOn w:val="Fuentedeprrafopredeter"/>
    <w:uiPriority w:val="99"/>
    <w:semiHidden/>
    <w:rsid w:val="004E4CA5"/>
    <w:rPr>
      <w:color w:val="808080"/>
    </w:rPr>
  </w:style>
  <w:style w:type="paragraph" w:styleId="Sinespaciado">
    <w:name w:val="No Spacing"/>
    <w:uiPriority w:val="98"/>
    <w:qFormat/>
    <w:rsid w:val="00F879C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8A3"/>
    <w:rPr>
      <w:rFonts w:ascii="Segoe UI" w:hAnsi="Segoe UI" w:cs="Segoe UI"/>
    </w:rPr>
  </w:style>
  <w:style w:type="character" w:styleId="Refdecomentario">
    <w:name w:val="annotation reference"/>
    <w:basedOn w:val="Fuentedeprrafopredeter"/>
    <w:uiPriority w:val="99"/>
    <w:semiHidden/>
    <w:unhideWhenUsed/>
    <w:rsid w:val="003904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0414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04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04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0414"/>
    <w:rPr>
      <w:b/>
      <w:bCs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12"/>
    <w:qFormat/>
    <w:rsid w:val="00362C4A"/>
    <w:pPr>
      <w:spacing w:after="120"/>
    </w:pPr>
  </w:style>
  <w:style w:type="character" w:customStyle="1" w:styleId="SaludoCar">
    <w:name w:val="Saludo Car"/>
    <w:basedOn w:val="Fuentedeprrafopredeter"/>
    <w:link w:val="Saludo"/>
    <w:uiPriority w:val="12"/>
    <w:rsid w:val="00362C4A"/>
  </w:style>
  <w:style w:type="paragraph" w:styleId="Cierre">
    <w:name w:val="Closing"/>
    <w:basedOn w:val="Normal"/>
    <w:next w:val="Firma"/>
    <w:link w:val="CierreCar"/>
    <w:uiPriority w:val="13"/>
    <w:qFormat/>
    <w:rsid w:val="00362C4A"/>
    <w:pPr>
      <w:spacing w:before="360" w:after="120"/>
      <w:contextualSpacing/>
    </w:pPr>
  </w:style>
  <w:style w:type="character" w:customStyle="1" w:styleId="CierreCar">
    <w:name w:val="Cierre Car"/>
    <w:basedOn w:val="Fuentedeprrafopredeter"/>
    <w:link w:val="Cierre"/>
    <w:uiPriority w:val="13"/>
    <w:rsid w:val="00B56F21"/>
  </w:style>
  <w:style w:type="paragraph" w:styleId="Firma">
    <w:name w:val="Signature"/>
    <w:basedOn w:val="Normal"/>
    <w:next w:val="Normal"/>
    <w:link w:val="FirmaCar"/>
    <w:uiPriority w:val="14"/>
    <w:qFormat/>
    <w:rsid w:val="00362C4A"/>
    <w:pPr>
      <w:spacing w:after="120" w:line="240" w:lineRule="auto"/>
    </w:pPr>
  </w:style>
  <w:style w:type="character" w:customStyle="1" w:styleId="FirmaCar">
    <w:name w:val="Firma Car"/>
    <w:basedOn w:val="Fuentedeprrafopredeter"/>
    <w:link w:val="Firma"/>
    <w:uiPriority w:val="14"/>
    <w:rsid w:val="00B56F21"/>
  </w:style>
  <w:style w:type="paragraph" w:styleId="Fecha">
    <w:name w:val="Date"/>
    <w:basedOn w:val="Normal"/>
    <w:next w:val="Normal"/>
    <w:link w:val="FechaCar"/>
    <w:uiPriority w:val="11"/>
    <w:qFormat/>
    <w:rsid w:val="00362C4A"/>
    <w:pPr>
      <w:spacing w:after="560"/>
    </w:pPr>
  </w:style>
  <w:style w:type="character" w:customStyle="1" w:styleId="FechaCar">
    <w:name w:val="Fecha Car"/>
    <w:basedOn w:val="Fuentedeprrafopredeter"/>
    <w:link w:val="Fecha"/>
    <w:uiPriority w:val="11"/>
    <w:rsid w:val="00362C4A"/>
  </w:style>
  <w:style w:type="paragraph" w:styleId="Puesto">
    <w:name w:val="Title"/>
    <w:basedOn w:val="Normal"/>
    <w:next w:val="Normal"/>
    <w:link w:val="PuestoCar"/>
    <w:uiPriority w:val="10"/>
    <w:semiHidden/>
    <w:unhideWhenUsed/>
    <w:qFormat/>
    <w:rsid w:val="00B56F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semiHidden/>
    <w:rsid w:val="00B56F21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B56F21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B56F21"/>
    <w:rPr>
      <w:rFonts w:eastAsiaTheme="minorEastAsia"/>
      <w:color w:val="5A5A5A" w:themeColor="text1" w:themeTint="A5"/>
      <w:sz w:val="22"/>
      <w:szCs w:val="22"/>
    </w:rPr>
  </w:style>
  <w:style w:type="paragraph" w:customStyle="1" w:styleId="Default">
    <w:name w:val="Default"/>
    <w:rsid w:val="00E95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Microsoft\Plantillas\Carta%20de%20presentaci&#243;n%20impoluta%20dise&#241;ada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465F88CFC074ACA8F1ED1F9E35A5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E0D76-D94E-4ED2-9270-3788B1FB842E}"/>
      </w:docPartPr>
      <w:docPartBody>
        <w:p w:rsidR="00000000" w:rsidRDefault="00372697">
          <w:pPr>
            <w:pStyle w:val="A465F88CFC074ACA8F1ED1F9E35A5423"/>
          </w:pPr>
          <w:r>
            <w:rPr>
              <w:lang w:bidi="es-ES"/>
            </w:rPr>
            <w:t>Nombre del destinatario</w:t>
          </w:r>
        </w:p>
      </w:docPartBody>
    </w:docPart>
    <w:docPart>
      <w:docPartPr>
        <w:name w:val="EB740438F73D4E749C67A410AF628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3792-189C-43A4-BF0A-A69A22DE062E}"/>
      </w:docPartPr>
      <w:docPartBody>
        <w:p w:rsidR="00000000" w:rsidRDefault="00372697">
          <w:pPr>
            <w:pStyle w:val="EB740438F73D4E749C67A410AF6280EF"/>
          </w:pPr>
          <w:r w:rsidRPr="00A85B6F">
            <w:rPr>
              <w:lang w:bidi="es-ES"/>
            </w:rPr>
            <w:t>Te</w:t>
          </w:r>
          <w:r w:rsidRPr="00A85B6F">
            <w:rPr>
              <w:lang w:bidi="es-ES"/>
            </w:rPr>
            <w:t>léfono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97"/>
    <w:rsid w:val="0037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465F88CFC074ACA8F1ED1F9E35A5423">
    <w:name w:val="A465F88CFC074ACA8F1ED1F9E35A5423"/>
  </w:style>
  <w:style w:type="paragraph" w:customStyle="1" w:styleId="A284A472F2E348A28F71F160AAC1595F">
    <w:name w:val="A284A472F2E348A28F71F160AAC1595F"/>
  </w:style>
  <w:style w:type="paragraph" w:customStyle="1" w:styleId="8B9247855AEF4EE3BD3CE1ADCAA931F5">
    <w:name w:val="8B9247855AEF4EE3BD3CE1ADCAA931F5"/>
  </w:style>
  <w:style w:type="paragraph" w:customStyle="1" w:styleId="71EA793552EC4453957D805BCF6DB1D7">
    <w:name w:val="71EA793552EC4453957D805BCF6DB1D7"/>
  </w:style>
  <w:style w:type="paragraph" w:customStyle="1" w:styleId="7B3C0CC26CE24694A65F91A190FFE594">
    <w:name w:val="7B3C0CC26CE24694A65F91A190FFE594"/>
  </w:style>
  <w:style w:type="paragraph" w:customStyle="1" w:styleId="8DECDA9A2B144EAF924EDC1E13889CFE">
    <w:name w:val="8DECDA9A2B144EAF924EDC1E13889CFE"/>
  </w:style>
  <w:style w:type="paragraph" w:customStyle="1" w:styleId="537F458EDEFA4C959A11C0DC10CA7DDC">
    <w:name w:val="537F458EDEFA4C959A11C0DC10CA7DDC"/>
  </w:style>
  <w:style w:type="paragraph" w:customStyle="1" w:styleId="01B4B6065C604071A25AACE16288FC55">
    <w:name w:val="01B4B6065C604071A25AACE16288FC55"/>
  </w:style>
  <w:style w:type="paragraph" w:customStyle="1" w:styleId="14EABD4C79854026A4DBEB5FF4D80564">
    <w:name w:val="14EABD4C79854026A4DBEB5FF4D80564"/>
  </w:style>
  <w:style w:type="paragraph" w:customStyle="1" w:styleId="CD8E4216FC15452EA06FB16E3113DF32">
    <w:name w:val="CD8E4216FC15452EA06FB16E3113DF32"/>
  </w:style>
  <w:style w:type="paragraph" w:customStyle="1" w:styleId="F5C3EF2937484A818D007D69428FC9E1">
    <w:name w:val="F5C3EF2937484A818D007D69428FC9E1"/>
  </w:style>
  <w:style w:type="paragraph" w:customStyle="1" w:styleId="15AEAD228BBC45EC86C02A96B3BD67F1">
    <w:name w:val="15AEAD228BBC45EC86C02A96B3BD67F1"/>
  </w:style>
  <w:style w:type="paragraph" w:customStyle="1" w:styleId="65279CCED178459BAEC18EB6975E2F18">
    <w:name w:val="65279CCED178459BAEC18EB6975E2F18"/>
  </w:style>
  <w:style w:type="paragraph" w:customStyle="1" w:styleId="F77E84A13DF840BBA907DA80234ADDFC">
    <w:name w:val="F77E84A13DF840BBA907DA80234ADDFC"/>
  </w:style>
  <w:style w:type="paragraph" w:customStyle="1" w:styleId="EB740438F73D4E749C67A410AF6280EF">
    <w:name w:val="EB740438F73D4E749C67A410AF6280EF"/>
  </w:style>
  <w:style w:type="paragraph" w:customStyle="1" w:styleId="C85EB23BC9704E9180CFDA594405587B">
    <w:name w:val="C85EB23BC9704E9180CFDA594405587B"/>
    <w:rsid w:val="003726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PLAN DE TRABAJO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presentación impoluta diseñada por MOO</Template>
  <TotalTime>83</TotalTime>
  <Pages>3</Pages>
  <Words>353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comisión edilicia permanente de justicia</dc:creator>
  <cp:keywords/>
  <dc:description/>
  <cp:lastModifiedBy>Lenovo</cp:lastModifiedBy>
  <cp:revision>1</cp:revision>
  <cp:lastPrinted>2016-06-29T01:32:00Z</cp:lastPrinted>
  <dcterms:created xsi:type="dcterms:W3CDTF">2019-07-26T15:22:00Z</dcterms:created>
  <dcterms:modified xsi:type="dcterms:W3CDTF">2019-07-26T16:45:00Z</dcterms:modified>
</cp:coreProperties>
</file>