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29483A" w:rsidTr="0014661E">
        <w:tc>
          <w:tcPr>
            <w:tcW w:w="9488" w:type="dxa"/>
          </w:tcPr>
          <w:p w:rsidR="0029483A" w:rsidRDefault="0029483A" w:rsidP="0014661E">
            <w:pPr>
              <w:jc w:val="center"/>
              <w:rPr>
                <w:rFonts w:ascii="Arial" w:hAnsi="Arial" w:cs="Arial"/>
                <w:b/>
                <w:sz w:val="22"/>
                <w:szCs w:val="22"/>
              </w:rPr>
            </w:pPr>
            <w:r>
              <w:rPr>
                <w:rFonts w:ascii="Arial" w:hAnsi="Arial" w:cs="Arial"/>
                <w:b/>
                <w:sz w:val="22"/>
                <w:szCs w:val="22"/>
              </w:rPr>
              <w:t>TRIGESIMA SEPTIMA</w:t>
            </w:r>
            <w:r w:rsidRPr="00EC1C5F">
              <w:rPr>
                <w:rFonts w:ascii="Arial" w:hAnsi="Arial" w:cs="Arial"/>
                <w:b/>
                <w:sz w:val="22"/>
                <w:szCs w:val="22"/>
              </w:rPr>
              <w:t xml:space="preserve"> SESIÓN ORDINARIA.</w:t>
            </w:r>
          </w:p>
          <w:p w:rsidR="0029483A" w:rsidRDefault="0029483A" w:rsidP="0014661E">
            <w:pPr>
              <w:jc w:val="center"/>
              <w:rPr>
                <w:rFonts w:ascii="Arial" w:hAnsi="Arial" w:cs="Arial"/>
                <w:b/>
                <w:sz w:val="22"/>
                <w:szCs w:val="22"/>
              </w:rPr>
            </w:pPr>
            <w:r>
              <w:rPr>
                <w:rFonts w:ascii="Arial" w:hAnsi="Arial" w:cs="Arial"/>
                <w:b/>
                <w:sz w:val="22"/>
                <w:szCs w:val="22"/>
              </w:rPr>
              <w:t xml:space="preserve">COMISIÓN EDILICIA PERMANENTE DE HACIENDA PÚBLICA </w:t>
            </w:r>
          </w:p>
          <w:p w:rsidR="0029483A" w:rsidRPr="00EC1C5F" w:rsidRDefault="0029483A" w:rsidP="0014661E">
            <w:pPr>
              <w:jc w:val="center"/>
              <w:rPr>
                <w:rFonts w:ascii="Arial" w:hAnsi="Arial" w:cs="Arial"/>
                <w:b/>
                <w:sz w:val="22"/>
                <w:szCs w:val="22"/>
              </w:rPr>
            </w:pPr>
            <w:r>
              <w:rPr>
                <w:rFonts w:ascii="Arial" w:hAnsi="Arial" w:cs="Arial"/>
                <w:b/>
                <w:sz w:val="22"/>
                <w:szCs w:val="22"/>
              </w:rPr>
              <w:t xml:space="preserve">Y PATRIMONIO MUNICIPAL. </w:t>
            </w:r>
          </w:p>
        </w:tc>
      </w:tr>
    </w:tbl>
    <w:p w:rsidR="0029483A" w:rsidRDefault="0029483A" w:rsidP="0029483A"/>
    <w:tbl>
      <w:tblPr>
        <w:tblStyle w:val="Tablaconcuadrcula"/>
        <w:tblW w:w="0" w:type="auto"/>
        <w:tblLook w:val="04A0" w:firstRow="1" w:lastRow="0" w:firstColumn="1" w:lastColumn="0" w:noHBand="0" w:noVBand="1"/>
      </w:tblPr>
      <w:tblGrid>
        <w:gridCol w:w="9488"/>
      </w:tblGrid>
      <w:tr w:rsidR="0029483A" w:rsidTr="0014661E">
        <w:tc>
          <w:tcPr>
            <w:tcW w:w="9488" w:type="dxa"/>
          </w:tcPr>
          <w:p w:rsidR="0029483A" w:rsidRPr="00EC1C5F" w:rsidRDefault="0029483A" w:rsidP="0014661E">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29483A" w:rsidRDefault="0029483A" w:rsidP="0029483A"/>
    <w:p w:rsidR="0029483A" w:rsidRDefault="0029483A" w:rsidP="0029483A">
      <w:pPr>
        <w:jc w:val="both"/>
        <w:rPr>
          <w:rFonts w:ascii="Arial" w:hAnsi="Arial" w:cs="Arial"/>
          <w:szCs w:val="18"/>
        </w:rPr>
      </w:pPr>
      <w:r>
        <w:rPr>
          <w:rFonts w:ascii="Arial" w:hAnsi="Arial" w:cs="Arial"/>
        </w:rPr>
        <w:t xml:space="preserve">Se discutio sobre </w:t>
      </w:r>
      <w:r w:rsidRPr="00FF7665">
        <w:rPr>
          <w:rFonts w:ascii="Arial" w:hAnsi="Arial" w:cs="Arial"/>
        </w:rPr>
        <w:t xml:space="preserve">el tema </w:t>
      </w:r>
      <w:r>
        <w:rPr>
          <w:rFonts w:ascii="Arial" w:hAnsi="Arial" w:cs="Arial"/>
        </w:rPr>
        <w:t xml:space="preserve">de la </w:t>
      </w:r>
      <w:r w:rsidRPr="0029483A">
        <w:rPr>
          <w:rFonts w:ascii="Arial" w:hAnsi="Arial" w:cs="Arial"/>
        </w:rPr>
        <w:t>procedencia y dictaminación respecto de la iniciativa de acuerdo que turno a la Comisión Permanente de Hacienda Pública Patrimonio Municipal el manual para el manejo de fondos fijos revolventes asignados a la dependencia del Gobierno Municipal.</w:t>
      </w:r>
    </w:p>
    <w:p w:rsidR="0029483A" w:rsidRDefault="0029483A" w:rsidP="0029483A">
      <w:pPr>
        <w:jc w:val="both"/>
        <w:rPr>
          <w:rFonts w:ascii="Arial" w:hAnsi="Arial" w:cs="Arial"/>
          <w:szCs w:val="18"/>
        </w:rPr>
      </w:pPr>
    </w:p>
    <w:p w:rsidR="0029483A" w:rsidRDefault="0029483A" w:rsidP="0029483A">
      <w:pPr>
        <w:jc w:val="both"/>
        <w:rPr>
          <w:rFonts w:ascii="Arial" w:hAnsi="Arial" w:cs="Arial"/>
          <w:szCs w:val="18"/>
        </w:rPr>
      </w:pPr>
      <w:r>
        <w:rPr>
          <w:rFonts w:ascii="Arial" w:hAnsi="Arial" w:cs="Arial"/>
          <w:szCs w:val="18"/>
        </w:rPr>
        <w:t>E</w:t>
      </w:r>
      <w:r w:rsidRPr="0029483A">
        <w:rPr>
          <w:rFonts w:ascii="Arial" w:hAnsi="Arial" w:cs="Arial"/>
          <w:szCs w:val="18"/>
        </w:rPr>
        <w:t>s un manual para los que operan actualmente toda la vida han utilizado fondo revolventes la administración y los compañeros dependiendo el área utilizan fondos revolventes y montos dependiendo el área, hay algunas que tienen fondo revolventes más grandes y otros son los recurrentes más pequeños</w:t>
      </w:r>
      <w:r w:rsidR="004B3335">
        <w:rPr>
          <w:rFonts w:ascii="Arial" w:hAnsi="Arial" w:cs="Arial"/>
          <w:szCs w:val="18"/>
        </w:rPr>
        <w:t>.</w:t>
      </w:r>
    </w:p>
    <w:p w:rsidR="004B3335" w:rsidRDefault="004B3335" w:rsidP="0029483A">
      <w:pPr>
        <w:jc w:val="both"/>
        <w:rPr>
          <w:rFonts w:ascii="Arial" w:hAnsi="Arial" w:cs="Arial"/>
          <w:szCs w:val="18"/>
        </w:rPr>
      </w:pPr>
    </w:p>
    <w:p w:rsidR="004B3335" w:rsidRDefault="004B3335" w:rsidP="0029483A">
      <w:pPr>
        <w:jc w:val="both"/>
        <w:rPr>
          <w:rFonts w:ascii="Arial" w:hAnsi="Arial" w:cs="Arial"/>
          <w:szCs w:val="18"/>
        </w:rPr>
      </w:pPr>
      <w:r>
        <w:rPr>
          <w:rFonts w:ascii="Arial" w:hAnsi="Arial" w:cs="Arial"/>
          <w:szCs w:val="18"/>
        </w:rPr>
        <w:t xml:space="preserve">Se analizaron de los articulos 1 al 21 de este manual donde </w:t>
      </w:r>
      <w:r w:rsidRPr="004B3335">
        <w:rPr>
          <w:rFonts w:ascii="Arial" w:hAnsi="Arial" w:cs="Arial"/>
          <w:szCs w:val="18"/>
        </w:rPr>
        <w:t xml:space="preserve">viene el instructivo para llenar el formato de autorización presupuestal, viene su descripción, nombre del solicitante, propósito y cantidad a solicitar, señala lo que se tiene que llenar, es el formato de vale provisional de la caja, son números constitutivos con sus conceptos, la comprobación de fondo fijo revolvente con los datos que necesita llenarse conforme la lista </w:t>
      </w:r>
      <w:r>
        <w:rPr>
          <w:rFonts w:ascii="Arial" w:hAnsi="Arial" w:cs="Arial"/>
          <w:szCs w:val="18"/>
        </w:rPr>
        <w:t>y el vale provisional también.</w:t>
      </w:r>
    </w:p>
    <w:p w:rsidR="004B3335" w:rsidRDefault="004B3335" w:rsidP="0029483A">
      <w:pPr>
        <w:jc w:val="both"/>
        <w:rPr>
          <w:rFonts w:ascii="Arial" w:hAnsi="Arial" w:cs="Arial"/>
          <w:szCs w:val="18"/>
        </w:rPr>
      </w:pPr>
    </w:p>
    <w:p w:rsidR="004B3335" w:rsidRPr="00FE4DFE" w:rsidRDefault="004B3335" w:rsidP="00FE4DFE">
      <w:pPr>
        <w:jc w:val="both"/>
        <w:rPr>
          <w:rFonts w:ascii="Arial" w:hAnsi="Arial" w:cs="Arial"/>
          <w:szCs w:val="18"/>
        </w:rPr>
      </w:pPr>
      <w:r>
        <w:rPr>
          <w:rFonts w:ascii="Arial" w:hAnsi="Arial" w:cs="Arial"/>
          <w:szCs w:val="18"/>
        </w:rPr>
        <w:t>Las areas</w:t>
      </w:r>
      <w:r w:rsidRPr="004B3335">
        <w:rPr>
          <w:rFonts w:ascii="Arial" w:hAnsi="Arial" w:cs="Arial"/>
          <w:szCs w:val="18"/>
        </w:rPr>
        <w:t xml:space="preserve"> que tengan un fondo fijo o revolvente no pueden pedir nuevamente</w:t>
      </w:r>
      <w:r>
        <w:rPr>
          <w:rFonts w:ascii="Arial" w:hAnsi="Arial" w:cs="Arial"/>
          <w:szCs w:val="18"/>
        </w:rPr>
        <w:t xml:space="preserve"> fondos a la Hacienda Municipal, aun que s</w:t>
      </w:r>
      <w:r w:rsidRPr="004B3335">
        <w:rPr>
          <w:rFonts w:ascii="Arial" w:hAnsi="Arial" w:cs="Arial"/>
          <w:szCs w:val="18"/>
        </w:rPr>
        <w:t xml:space="preserve">e toma en cuenta a las áreas que sí tengan </w:t>
      </w:r>
      <w:r>
        <w:rPr>
          <w:rFonts w:ascii="Arial" w:hAnsi="Arial" w:cs="Arial"/>
          <w:szCs w:val="18"/>
        </w:rPr>
        <w:t>necesidad, pero</w:t>
      </w:r>
      <w:r w:rsidRPr="004B3335">
        <w:rPr>
          <w:rFonts w:ascii="Arial" w:hAnsi="Arial" w:cs="Arial"/>
          <w:szCs w:val="18"/>
        </w:rPr>
        <w:t xml:space="preserve"> se queda a arbitrio y discreción de hacienda municipal</w:t>
      </w:r>
      <w:r>
        <w:rPr>
          <w:rFonts w:ascii="Arial" w:hAnsi="Arial" w:cs="Arial"/>
          <w:szCs w:val="18"/>
        </w:rPr>
        <w:t xml:space="preserve">; </w:t>
      </w:r>
      <w:r w:rsidR="00FE4DFE">
        <w:rPr>
          <w:rFonts w:ascii="Arial" w:hAnsi="Arial" w:cs="Arial"/>
          <w:szCs w:val="18"/>
        </w:rPr>
        <w:t xml:space="preserve">se busca </w:t>
      </w:r>
      <w:r w:rsidRPr="004B3335">
        <w:rPr>
          <w:rFonts w:ascii="Arial" w:hAnsi="Arial" w:cs="Arial"/>
          <w:szCs w:val="18"/>
        </w:rPr>
        <w:t>regular primero la forma en que lo vamos a ejecutar, solamente que el departamento tenga una di</w:t>
      </w:r>
      <w:r w:rsidR="00FE4DFE">
        <w:rPr>
          <w:rFonts w:ascii="Arial" w:hAnsi="Arial" w:cs="Arial"/>
          <w:szCs w:val="18"/>
        </w:rPr>
        <w:t>sponibilidad presupuestal se le asigna</w:t>
      </w:r>
      <w:r w:rsidRPr="004B3335">
        <w:rPr>
          <w:rFonts w:ascii="Arial" w:hAnsi="Arial" w:cs="Arial"/>
          <w:szCs w:val="18"/>
        </w:rPr>
        <w:t xml:space="preserve">, </w:t>
      </w:r>
      <w:r>
        <w:rPr>
          <w:rFonts w:ascii="Arial" w:hAnsi="Arial" w:cs="Arial"/>
          <w:szCs w:val="18"/>
        </w:rPr>
        <w:t xml:space="preserve">para </w:t>
      </w:r>
      <w:r w:rsidRPr="004B3335">
        <w:rPr>
          <w:rFonts w:ascii="Arial" w:hAnsi="Arial" w:cs="Arial"/>
          <w:szCs w:val="18"/>
        </w:rPr>
        <w:t>que efe</w:t>
      </w:r>
      <w:r>
        <w:rPr>
          <w:rFonts w:ascii="Arial" w:hAnsi="Arial" w:cs="Arial"/>
          <w:szCs w:val="18"/>
        </w:rPr>
        <w:t xml:space="preserve">ctivamente se ejecute y se use  </w:t>
      </w:r>
      <w:r w:rsidRPr="004B3335">
        <w:rPr>
          <w:rFonts w:ascii="Arial" w:hAnsi="Arial" w:cs="Arial"/>
          <w:szCs w:val="18"/>
        </w:rPr>
        <w:t>para lo que está destinado que es para gastos urgentes, d</w:t>
      </w:r>
      <w:r w:rsidR="00FE4DFE">
        <w:rPr>
          <w:rFonts w:ascii="Arial" w:hAnsi="Arial" w:cs="Arial"/>
          <w:szCs w:val="18"/>
        </w:rPr>
        <w:t xml:space="preserve">e poca cuantía, no recurrentes </w:t>
      </w:r>
      <w:r w:rsidRPr="004B3335">
        <w:rPr>
          <w:rFonts w:ascii="Arial" w:hAnsi="Arial" w:cs="Arial"/>
          <w:szCs w:val="18"/>
        </w:rPr>
        <w:t>y de ahí</w:t>
      </w:r>
      <w:r w:rsidR="00FE4DFE">
        <w:rPr>
          <w:rFonts w:ascii="Arial" w:hAnsi="Arial" w:cs="Arial"/>
          <w:szCs w:val="18"/>
        </w:rPr>
        <w:t xml:space="preserve"> se pretende </w:t>
      </w:r>
      <w:r w:rsidR="00FE4DFE" w:rsidRPr="00FE4DFE">
        <w:rPr>
          <w:rFonts w:ascii="Arial" w:hAnsi="Arial" w:cs="Arial"/>
          <w:szCs w:val="18"/>
        </w:rPr>
        <w:t>regular debidamente el ejercicio regional</w:t>
      </w:r>
      <w:r w:rsidR="00FE4DFE">
        <w:rPr>
          <w:rFonts w:ascii="Arial" w:hAnsi="Arial" w:cs="Arial"/>
          <w:szCs w:val="18"/>
        </w:rPr>
        <w:t>.</w:t>
      </w:r>
    </w:p>
    <w:p w:rsidR="004B3335" w:rsidRDefault="004B3335" w:rsidP="0029483A">
      <w:pPr>
        <w:jc w:val="both"/>
        <w:rPr>
          <w:rFonts w:ascii="Arial" w:hAnsi="Arial" w:cs="Arial"/>
          <w:szCs w:val="18"/>
        </w:rPr>
      </w:pPr>
    </w:p>
    <w:p w:rsidR="004B3335" w:rsidRDefault="004B3335" w:rsidP="0029483A">
      <w:pPr>
        <w:jc w:val="both"/>
        <w:rPr>
          <w:rFonts w:ascii="Arial" w:hAnsi="Arial" w:cs="Arial"/>
          <w:szCs w:val="18"/>
        </w:rPr>
      </w:pPr>
    </w:p>
    <w:p w:rsidR="004B3335" w:rsidRDefault="004B3335" w:rsidP="0029483A">
      <w:pPr>
        <w:jc w:val="both"/>
        <w:rPr>
          <w:rFonts w:ascii="Arial" w:hAnsi="Arial" w:cs="Arial"/>
          <w:szCs w:val="18"/>
        </w:rPr>
      </w:pPr>
    </w:p>
    <w:p w:rsidR="004B3335" w:rsidRDefault="004B3335" w:rsidP="0029483A">
      <w:pPr>
        <w:jc w:val="both"/>
        <w:rPr>
          <w:rFonts w:ascii="Arial" w:hAnsi="Arial" w:cs="Arial"/>
          <w:szCs w:val="18"/>
        </w:rPr>
      </w:pPr>
    </w:p>
    <w:p w:rsidR="004B3335" w:rsidRDefault="004B3335" w:rsidP="0029483A">
      <w:pPr>
        <w:jc w:val="both"/>
        <w:rPr>
          <w:rFonts w:ascii="Arial" w:hAnsi="Arial" w:cs="Arial"/>
          <w:szCs w:val="18"/>
        </w:rPr>
      </w:pPr>
    </w:p>
    <w:p w:rsidR="00FE4DFE" w:rsidRDefault="00FE4DFE" w:rsidP="0029483A">
      <w:pPr>
        <w:jc w:val="both"/>
        <w:rPr>
          <w:rFonts w:ascii="Arial" w:hAnsi="Arial" w:cs="Arial"/>
          <w:szCs w:val="18"/>
        </w:rPr>
      </w:pPr>
    </w:p>
    <w:p w:rsidR="00FE4DFE" w:rsidRDefault="00FE4DFE" w:rsidP="0029483A">
      <w:pPr>
        <w:jc w:val="both"/>
        <w:rPr>
          <w:rFonts w:ascii="Arial" w:hAnsi="Arial" w:cs="Arial"/>
          <w:szCs w:val="18"/>
        </w:rPr>
      </w:pPr>
      <w:bookmarkStart w:id="0" w:name="_GoBack"/>
      <w:bookmarkEnd w:id="0"/>
    </w:p>
    <w:p w:rsidR="004B3335" w:rsidRPr="00912FB1" w:rsidRDefault="004B3335" w:rsidP="0029483A">
      <w:pPr>
        <w:jc w:val="both"/>
        <w:rPr>
          <w:rFonts w:ascii="Arial" w:hAnsi="Arial" w:cs="Arial"/>
          <w:szCs w:val="18"/>
        </w:rPr>
      </w:pPr>
    </w:p>
    <w:p w:rsidR="0029483A" w:rsidRPr="00EC1C5F" w:rsidRDefault="0029483A" w:rsidP="0029483A">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29483A" w:rsidRDefault="0029483A" w:rsidP="0029483A"/>
    <w:p w:rsidR="0029483A" w:rsidRDefault="0029483A" w:rsidP="0029483A"/>
    <w:p w:rsidR="0029483A" w:rsidRDefault="0029483A" w:rsidP="0029483A"/>
    <w:p w:rsidR="004B7BE4" w:rsidRDefault="004B7BE4"/>
    <w:sectPr w:rsidR="004B7BE4"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FE4DFE">
        <w:pPr>
          <w:pStyle w:val="Piedepgina"/>
          <w:jc w:val="right"/>
        </w:pPr>
        <w:r>
          <w:fldChar w:fldCharType="begin"/>
        </w:r>
        <w:r>
          <w:instrText>PAGE   \* MERGEFORMAT</w:instrText>
        </w:r>
        <w:r>
          <w:fldChar w:fldCharType="separate"/>
        </w:r>
        <w:r w:rsidRPr="00FE4DFE">
          <w:rPr>
            <w:lang w:val="es-ES"/>
          </w:rPr>
          <w:t>1</w:t>
        </w:r>
        <w:r>
          <w:fldChar w:fldCharType="end"/>
        </w:r>
      </w:p>
    </w:sdtContent>
  </w:sdt>
  <w:p w:rsidR="00EC1C5F" w:rsidRDefault="00FE4DFE">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E4DF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E4DFE">
    <w:pPr>
      <w:pStyle w:val="Encabezado"/>
    </w:pPr>
    <w:r>
      <w:rPr>
        <w:lang w:val="es-MX" w:eastAsia="es-MX"/>
      </w:rPr>
      <w:drawing>
        <wp:anchor distT="0" distB="0" distL="114300" distR="114300" simplePos="0" relativeHeight="251659264" behindDoc="0" locked="0" layoutInCell="1" allowOverlap="1" wp14:anchorId="713AFEDD" wp14:editId="7F5049BC">
          <wp:simplePos x="0" y="0"/>
          <wp:positionH relativeFrom="column">
            <wp:posOffset>3638550</wp:posOffset>
          </wp:positionH>
          <wp:positionV relativeFrom="paragraph">
            <wp:posOffset>-210185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E4DF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3A"/>
    <w:rsid w:val="0029483A"/>
    <w:rsid w:val="004B3335"/>
    <w:rsid w:val="004B7BE4"/>
    <w:rsid w:val="00FE4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B0F07E"/>
  <w15:chartTrackingRefBased/>
  <w15:docId w15:val="{FBC470D2-8016-461C-93EE-319F402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3A"/>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83A"/>
    <w:pPr>
      <w:tabs>
        <w:tab w:val="center" w:pos="4252"/>
        <w:tab w:val="right" w:pos="8504"/>
      </w:tabs>
    </w:pPr>
  </w:style>
  <w:style w:type="character" w:customStyle="1" w:styleId="EncabezadoCar">
    <w:name w:val="Encabezado Car"/>
    <w:basedOn w:val="Fuentedeprrafopredeter"/>
    <w:link w:val="Encabezado"/>
    <w:uiPriority w:val="99"/>
    <w:rsid w:val="0029483A"/>
    <w:rPr>
      <w:rFonts w:eastAsiaTheme="minorEastAsia"/>
      <w:noProof/>
      <w:sz w:val="24"/>
      <w:szCs w:val="24"/>
      <w:lang w:val="es-ES_tradnl" w:eastAsia="es-ES"/>
    </w:rPr>
  </w:style>
  <w:style w:type="paragraph" w:styleId="Piedepgina">
    <w:name w:val="footer"/>
    <w:basedOn w:val="Normal"/>
    <w:link w:val="PiedepginaCar"/>
    <w:uiPriority w:val="99"/>
    <w:unhideWhenUsed/>
    <w:rsid w:val="0029483A"/>
    <w:pPr>
      <w:tabs>
        <w:tab w:val="center" w:pos="4252"/>
        <w:tab w:val="right" w:pos="8504"/>
      </w:tabs>
    </w:pPr>
  </w:style>
  <w:style w:type="character" w:customStyle="1" w:styleId="PiedepginaCar">
    <w:name w:val="Pie de página Car"/>
    <w:basedOn w:val="Fuentedeprrafopredeter"/>
    <w:link w:val="Piedepgina"/>
    <w:uiPriority w:val="99"/>
    <w:rsid w:val="0029483A"/>
    <w:rPr>
      <w:rFonts w:eastAsiaTheme="minorEastAsia"/>
      <w:noProof/>
      <w:sz w:val="24"/>
      <w:szCs w:val="24"/>
      <w:lang w:val="es-ES_tradnl" w:eastAsia="es-ES"/>
    </w:rPr>
  </w:style>
  <w:style w:type="table" w:styleId="Tablaconcuadrcula">
    <w:name w:val="Table Grid"/>
    <w:basedOn w:val="Tablanormal"/>
    <w:uiPriority w:val="39"/>
    <w:rsid w:val="0029483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2024-03-15T20:01:00Z</dcterms:created>
  <dcterms:modified xsi:type="dcterms:W3CDTF">2024-03-15T20:29:00Z</dcterms:modified>
</cp:coreProperties>
</file>