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360DC" w:rsidRPr="0081617D" w:rsidTr="00C442CA">
        <w:tc>
          <w:tcPr>
            <w:tcW w:w="3714" w:type="dxa"/>
          </w:tcPr>
          <w:p w:rsidR="001360DC" w:rsidRPr="0081617D" w:rsidRDefault="001360DC" w:rsidP="00C442C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1360DC" w:rsidRPr="0081617D" w:rsidTr="00C442CA">
        <w:tc>
          <w:tcPr>
            <w:tcW w:w="3714" w:type="dxa"/>
          </w:tcPr>
          <w:p w:rsidR="001360DC" w:rsidRPr="0081617D" w:rsidRDefault="001360DC" w:rsidP="001360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1360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1266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1360DC" w:rsidRPr="0081617D" w:rsidTr="00C442CA">
        <w:tc>
          <w:tcPr>
            <w:tcW w:w="3714" w:type="dxa"/>
          </w:tcPr>
          <w:p w:rsidR="001360DC" w:rsidRPr="0081617D" w:rsidRDefault="001360DC" w:rsidP="00C44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1360DC" w:rsidRDefault="001360DC" w:rsidP="001360DC">
      <w:pPr>
        <w:jc w:val="both"/>
        <w:rPr>
          <w:rFonts w:ascii="Arial" w:hAnsi="Arial" w:cs="Arial"/>
          <w:b/>
          <w:sz w:val="20"/>
          <w:szCs w:val="20"/>
        </w:rPr>
      </w:pPr>
    </w:p>
    <w:p w:rsidR="001360DC" w:rsidRDefault="001360DC" w:rsidP="001360DC">
      <w:pPr>
        <w:jc w:val="both"/>
        <w:rPr>
          <w:rFonts w:ascii="Arial" w:hAnsi="Arial" w:cs="Arial"/>
          <w:b/>
          <w:sz w:val="20"/>
          <w:szCs w:val="20"/>
        </w:rPr>
      </w:pPr>
    </w:p>
    <w:p w:rsidR="001360DC" w:rsidRDefault="001360DC" w:rsidP="001360DC">
      <w:pPr>
        <w:jc w:val="both"/>
        <w:rPr>
          <w:rFonts w:ascii="Arial" w:hAnsi="Arial" w:cs="Arial"/>
          <w:b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C.DIANA LAURA ORTEGA PALAFOX. 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1360DC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 PÚBLICA Y PATRIMONIO MUNICIPAL.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DEL H</w:t>
      </w:r>
      <w:r>
        <w:rPr>
          <w:rFonts w:ascii="Arial" w:hAnsi="Arial" w:cs="Arial"/>
          <w:b/>
          <w:sz w:val="20"/>
          <w:szCs w:val="20"/>
        </w:rPr>
        <w:t xml:space="preserve">ONORABLE </w:t>
      </w:r>
      <w:r w:rsidRPr="0081617D">
        <w:rPr>
          <w:rFonts w:ascii="Arial" w:hAnsi="Arial" w:cs="Arial"/>
          <w:b/>
          <w:sz w:val="20"/>
          <w:szCs w:val="20"/>
        </w:rPr>
        <w:t xml:space="preserve">AYUNTAMIENTO CONSTITUCIONAL DE 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1360DC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>Anteponiendo un cordial saludo, me dirijo a sus finas atenciones para hacerle del conocimiento que,</w:t>
      </w:r>
      <w:r>
        <w:rPr>
          <w:rFonts w:ascii="Arial" w:hAnsi="Arial" w:cs="Arial"/>
          <w:sz w:val="20"/>
          <w:szCs w:val="20"/>
        </w:rPr>
        <w:t xml:space="preserve"> con fundamento en lo dispuesto en el artículo 47 del Reglamento Interior del Ayuntamiento de Zapotlán el </w:t>
      </w:r>
      <w:proofErr w:type="gramStart"/>
      <w:r>
        <w:rPr>
          <w:rFonts w:ascii="Arial" w:hAnsi="Arial" w:cs="Arial"/>
          <w:sz w:val="20"/>
          <w:szCs w:val="20"/>
        </w:rPr>
        <w:t xml:space="preserve">Grande, </w:t>
      </w:r>
      <w:r w:rsidRPr="008161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proofErr w:type="gramEnd"/>
      <w:r>
        <w:rPr>
          <w:rFonts w:ascii="Arial" w:hAnsi="Arial" w:cs="Arial"/>
          <w:sz w:val="20"/>
          <w:szCs w:val="20"/>
        </w:rPr>
        <w:t xml:space="preserve"> mi calidad de </w:t>
      </w:r>
      <w:r w:rsidRPr="0081617D">
        <w:rPr>
          <w:rFonts w:ascii="Arial" w:hAnsi="Arial" w:cs="Arial"/>
          <w:sz w:val="20"/>
          <w:szCs w:val="20"/>
        </w:rPr>
        <w:t>Presidente de la Comisión Edilicia Permanente de Hacienda Pública y Patrimonio Municipal, he convocado a la</w:t>
      </w:r>
      <w:r>
        <w:rPr>
          <w:rFonts w:ascii="Arial" w:hAnsi="Arial" w:cs="Arial"/>
          <w:sz w:val="20"/>
          <w:szCs w:val="20"/>
        </w:rPr>
        <w:t xml:space="preserve"> continuación de la Trigésima Tercera </w:t>
      </w:r>
      <w:r w:rsidRPr="0081617D">
        <w:rPr>
          <w:rFonts w:ascii="Arial" w:hAnsi="Arial" w:cs="Arial"/>
          <w:sz w:val="20"/>
          <w:szCs w:val="20"/>
        </w:rPr>
        <w:t>Sesión Ordinaria, misma que se llevará a cabo</w:t>
      </w:r>
      <w:r>
        <w:rPr>
          <w:rFonts w:ascii="Arial" w:hAnsi="Arial" w:cs="Arial"/>
          <w:sz w:val="20"/>
          <w:szCs w:val="20"/>
        </w:rPr>
        <w:t xml:space="preserve"> conforme al siguiente calendario: </w:t>
      </w: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3402"/>
        <w:gridCol w:w="2835"/>
      </w:tblGrid>
      <w:tr w:rsidR="001360DC" w:rsidTr="00C442CA">
        <w:tc>
          <w:tcPr>
            <w:tcW w:w="1559" w:type="dxa"/>
          </w:tcPr>
          <w:p w:rsidR="001360DC" w:rsidRDefault="001360DC" w:rsidP="001360D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:rsidR="001360DC" w:rsidRDefault="001360DC" w:rsidP="001360D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Jueves 17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Agosto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2023. </w:t>
            </w:r>
          </w:p>
        </w:tc>
        <w:tc>
          <w:tcPr>
            <w:tcW w:w="2835" w:type="dxa"/>
          </w:tcPr>
          <w:p w:rsidR="001360DC" w:rsidRDefault="001360DC" w:rsidP="00C442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  <w:tr w:rsidR="001360DC" w:rsidTr="00C442CA">
        <w:tc>
          <w:tcPr>
            <w:tcW w:w="1559" w:type="dxa"/>
          </w:tcPr>
          <w:p w:rsidR="001360DC" w:rsidRDefault="001360DC" w:rsidP="00C442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402" w:type="dxa"/>
          </w:tcPr>
          <w:p w:rsidR="001360DC" w:rsidRDefault="001360DC" w:rsidP="00C442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18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Agosto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2023. </w:t>
            </w:r>
          </w:p>
        </w:tc>
        <w:tc>
          <w:tcPr>
            <w:tcW w:w="2835" w:type="dxa"/>
          </w:tcPr>
          <w:p w:rsidR="001360DC" w:rsidRDefault="001360DC" w:rsidP="00C442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  <w:tr w:rsidR="001360DC" w:rsidTr="00C442CA">
        <w:tc>
          <w:tcPr>
            <w:tcW w:w="1559" w:type="dxa"/>
          </w:tcPr>
          <w:p w:rsidR="001360DC" w:rsidRDefault="001360DC" w:rsidP="00C442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360DC" w:rsidRDefault="001360DC" w:rsidP="001360D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 21 de Agosto de 2023.</w:t>
            </w:r>
          </w:p>
        </w:tc>
        <w:tc>
          <w:tcPr>
            <w:tcW w:w="2835" w:type="dxa"/>
          </w:tcPr>
          <w:p w:rsidR="001360DC" w:rsidRDefault="001360DC" w:rsidP="00C442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 Juan S. Vizcaíno. </w:t>
            </w:r>
          </w:p>
        </w:tc>
      </w:tr>
    </w:tbl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Pr="0081617D" w:rsidRDefault="001360DC" w:rsidP="001360DC">
      <w:pPr>
        <w:pStyle w:val="Sinespaciad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que se </w:t>
      </w:r>
      <w:r w:rsidRPr="0081617D">
        <w:rPr>
          <w:rFonts w:ascii="Arial" w:hAnsi="Arial" w:cs="Arial"/>
          <w:sz w:val="20"/>
          <w:szCs w:val="20"/>
        </w:rPr>
        <w:t xml:space="preserve">desarrollará bajo el siguiente: </w:t>
      </w: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60DC" w:rsidTr="00C442CA">
        <w:tc>
          <w:tcPr>
            <w:tcW w:w="9629" w:type="dxa"/>
          </w:tcPr>
          <w:p w:rsidR="001360DC" w:rsidRDefault="001360DC" w:rsidP="00C442C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0DC" w:rsidRPr="0081617D" w:rsidRDefault="001360DC" w:rsidP="00C442C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17D">
              <w:rPr>
                <w:rFonts w:ascii="Arial" w:hAnsi="Arial" w:cs="Arial"/>
                <w:b/>
                <w:sz w:val="20"/>
                <w:szCs w:val="20"/>
              </w:rPr>
              <w:t>ORDEN DEL DÍA.</w:t>
            </w:r>
          </w:p>
          <w:p w:rsidR="001360DC" w:rsidRDefault="001360DC" w:rsidP="00C442C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60DC" w:rsidRDefault="001360DC" w:rsidP="001360D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360DC" w:rsidRDefault="001360DC" w:rsidP="001360D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2.</w:t>
      </w:r>
      <w:r w:rsidRPr="008161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Estudio, revisión, análisis en su caso aprobación y dictaminación de las Tablas de Valores Catastrales para el Ejercicio Fiscal 2024. </w:t>
      </w:r>
    </w:p>
    <w:p w:rsidR="001360DC" w:rsidRDefault="001360DC" w:rsidP="001360DC">
      <w:pPr>
        <w:jc w:val="both"/>
        <w:rPr>
          <w:rFonts w:ascii="Arial" w:hAnsi="Arial" w:cs="Arial"/>
          <w:sz w:val="20"/>
          <w:szCs w:val="20"/>
        </w:rPr>
      </w:pPr>
      <w:r w:rsidRPr="0021449E">
        <w:rPr>
          <w:rFonts w:ascii="Arial" w:hAnsi="Arial" w:cs="Arial"/>
          <w:b/>
          <w:sz w:val="20"/>
          <w:szCs w:val="20"/>
        </w:rPr>
        <w:lastRenderedPageBreak/>
        <w:t>3.-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44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Estudio, revisión, análisis en su caso aprobación y dictaminación respecto del pago de derechos por el uso del agua, drenaje, alcantarillado, tratamiento y disposición de aguas residuales del Organismo Público Descentralizado SAPAZA, artículos 65 al 97 del Proyecto de la Ley de Ingresos para el Ejercicio Fiscal 2024. </w:t>
      </w:r>
    </w:p>
    <w:p w:rsidR="001360DC" w:rsidRPr="0021449E" w:rsidRDefault="001360DC" w:rsidP="001360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Estudio, revisión, análisis en su caso aprobación y dictaminación respecto del Proyecto de la Ley de Ingresos para el Ejercicio Fiscal 2024 para el Municipio de Zapotlán el Grande, Jalisco. </w:t>
      </w:r>
    </w:p>
    <w:p w:rsidR="001360DC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29463F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1360DC" w:rsidRPr="0081617D" w:rsidRDefault="001360DC" w:rsidP="001360D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14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Agosto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1360DC" w:rsidRPr="0081617D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360DC" w:rsidRDefault="001360DC" w:rsidP="001360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0DC" w:rsidRDefault="001360DC" w:rsidP="001360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0DC" w:rsidRDefault="001360DC" w:rsidP="001360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0DC" w:rsidRDefault="001360DC" w:rsidP="001360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 </w:t>
      </w:r>
    </w:p>
    <w:p w:rsidR="001360DC" w:rsidRDefault="001360DC" w:rsidP="001360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0DC" w:rsidRDefault="001360DC" w:rsidP="001360DC"/>
    <w:p w:rsidR="001360DC" w:rsidRDefault="001360DC" w:rsidP="001360DC"/>
    <w:p w:rsidR="001360DC" w:rsidRDefault="001360DC" w:rsidP="001360DC">
      <w:bookmarkStart w:id="0" w:name="_GoBack"/>
      <w:bookmarkEnd w:id="0"/>
    </w:p>
    <w:p w:rsidR="001360DC" w:rsidRDefault="001360DC" w:rsidP="001360DC"/>
    <w:p w:rsidR="001360DC" w:rsidRDefault="001360DC" w:rsidP="001360DC"/>
    <w:p w:rsidR="00A74DC6" w:rsidRDefault="00A74DC6"/>
    <w:sectPr w:rsidR="00A74DC6" w:rsidSect="00623DFC">
      <w:headerReference w:type="default" r:id="rId6"/>
      <w:footerReference w:type="default" r:id="rId7"/>
      <w:pgSz w:w="12240" w:h="15840" w:code="1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E5" w:rsidRDefault="00E37FE5">
      <w:pPr>
        <w:spacing w:after="0" w:line="240" w:lineRule="auto"/>
      </w:pPr>
      <w:r>
        <w:separator/>
      </w:r>
    </w:p>
  </w:endnote>
  <w:endnote w:type="continuationSeparator" w:id="0">
    <w:p w:rsidR="00E37FE5" w:rsidRDefault="00E3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40601"/>
      <w:docPartObj>
        <w:docPartGallery w:val="Page Numbers (Bottom of Page)"/>
        <w:docPartUnique/>
      </w:docPartObj>
    </w:sdtPr>
    <w:sdtEndPr/>
    <w:sdtContent>
      <w:p w:rsidR="0078725A" w:rsidRDefault="004E40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CEC" w:rsidRPr="00A01CEC">
          <w:rPr>
            <w:noProof/>
            <w:lang w:val="es-ES"/>
          </w:rPr>
          <w:t>1</w:t>
        </w:r>
        <w:r>
          <w:fldChar w:fldCharType="end"/>
        </w:r>
      </w:p>
    </w:sdtContent>
  </w:sdt>
  <w:p w:rsidR="009F236E" w:rsidRDefault="00E37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E5" w:rsidRDefault="00E37FE5">
      <w:pPr>
        <w:spacing w:after="0" w:line="240" w:lineRule="auto"/>
      </w:pPr>
      <w:r>
        <w:separator/>
      </w:r>
    </w:p>
  </w:footnote>
  <w:footnote w:type="continuationSeparator" w:id="0">
    <w:p w:rsidR="00E37FE5" w:rsidRDefault="00E3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4E40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40DE9CB" wp14:editId="24CEBC22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E37F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DC"/>
    <w:rsid w:val="001360DC"/>
    <w:rsid w:val="004E4056"/>
    <w:rsid w:val="00A01CEC"/>
    <w:rsid w:val="00A74DC6"/>
    <w:rsid w:val="00E3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3A6D"/>
  <w15:chartTrackingRefBased/>
  <w15:docId w15:val="{39DE152F-DAEA-4FA1-8E7F-A95C951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360D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360DC"/>
  </w:style>
  <w:style w:type="paragraph" w:styleId="Encabezado">
    <w:name w:val="header"/>
    <w:basedOn w:val="Normal"/>
    <w:link w:val="EncabezadoCar"/>
    <w:uiPriority w:val="99"/>
    <w:unhideWhenUsed/>
    <w:rsid w:val="00136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0DC"/>
  </w:style>
  <w:style w:type="paragraph" w:styleId="Piedepgina">
    <w:name w:val="footer"/>
    <w:basedOn w:val="Normal"/>
    <w:link w:val="PiedepginaCar"/>
    <w:uiPriority w:val="99"/>
    <w:unhideWhenUsed/>
    <w:rsid w:val="00136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0DC"/>
  </w:style>
  <w:style w:type="table" w:styleId="Tablaconcuadrcula">
    <w:name w:val="Table Grid"/>
    <w:basedOn w:val="Tablanormal"/>
    <w:uiPriority w:val="39"/>
    <w:rsid w:val="0013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2023-08-14T21:09:00Z</dcterms:created>
  <dcterms:modified xsi:type="dcterms:W3CDTF">2024-03-11T19:45:00Z</dcterms:modified>
</cp:coreProperties>
</file>