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1B" w:rsidRDefault="0082741B" w:rsidP="0082741B"/>
    <w:tbl>
      <w:tblPr>
        <w:tblStyle w:val="Tablaconcuadrcula"/>
        <w:tblW w:w="0" w:type="auto"/>
        <w:tblLook w:val="04A0" w:firstRow="1" w:lastRow="0" w:firstColumn="1" w:lastColumn="0" w:noHBand="0" w:noVBand="1"/>
      </w:tblPr>
      <w:tblGrid>
        <w:gridCol w:w="9629"/>
      </w:tblGrid>
      <w:tr w:rsidR="0082741B" w:rsidTr="00A2050D">
        <w:tc>
          <w:tcPr>
            <w:tcW w:w="9629" w:type="dxa"/>
          </w:tcPr>
          <w:p w:rsidR="0082741B" w:rsidRDefault="0082741B" w:rsidP="00A2050D">
            <w:pPr>
              <w:jc w:val="center"/>
              <w:rPr>
                <w:rFonts w:ascii="Arial" w:hAnsi="Arial" w:cs="Arial"/>
                <w:b/>
                <w:sz w:val="22"/>
                <w:szCs w:val="22"/>
              </w:rPr>
            </w:pPr>
          </w:p>
          <w:p w:rsidR="0082741B" w:rsidRPr="00DF2116" w:rsidRDefault="0082741B" w:rsidP="00A2050D">
            <w:pPr>
              <w:jc w:val="center"/>
              <w:rPr>
                <w:rFonts w:ascii="Arial" w:hAnsi="Arial" w:cs="Arial"/>
                <w:b/>
                <w:sz w:val="22"/>
                <w:szCs w:val="22"/>
              </w:rPr>
            </w:pPr>
            <w:r w:rsidRPr="00DF2116">
              <w:rPr>
                <w:rFonts w:ascii="Arial" w:hAnsi="Arial" w:cs="Arial"/>
                <w:b/>
                <w:sz w:val="22"/>
                <w:szCs w:val="22"/>
              </w:rPr>
              <w:t xml:space="preserve">DÉCIMA </w:t>
            </w:r>
            <w:r>
              <w:rPr>
                <w:rFonts w:ascii="Arial" w:hAnsi="Arial" w:cs="Arial"/>
                <w:b/>
                <w:sz w:val="22"/>
                <w:szCs w:val="22"/>
              </w:rPr>
              <w:t>TERCERA</w:t>
            </w:r>
            <w:r w:rsidRPr="00DF2116">
              <w:rPr>
                <w:rFonts w:ascii="Arial" w:hAnsi="Arial" w:cs="Arial"/>
                <w:b/>
                <w:sz w:val="22"/>
                <w:szCs w:val="22"/>
              </w:rPr>
              <w:t xml:space="preserve"> SESIÓN ORDINARIA DE LA COMISIÓN EDILICIA PERMANENTE</w:t>
            </w:r>
          </w:p>
          <w:p w:rsidR="0082741B" w:rsidRDefault="0082741B" w:rsidP="00A2050D">
            <w:pPr>
              <w:jc w:val="center"/>
              <w:rPr>
                <w:rFonts w:ascii="Arial" w:hAnsi="Arial" w:cs="Arial"/>
                <w:b/>
                <w:sz w:val="22"/>
                <w:szCs w:val="22"/>
              </w:rPr>
            </w:pPr>
            <w:r>
              <w:rPr>
                <w:rFonts w:ascii="Arial" w:hAnsi="Arial" w:cs="Arial"/>
                <w:b/>
                <w:sz w:val="22"/>
                <w:szCs w:val="22"/>
              </w:rPr>
              <w:t>DE ESPECTACULOS PÚBLICOS E IN</w:t>
            </w:r>
            <w:r w:rsidRPr="00DF2116">
              <w:rPr>
                <w:rFonts w:ascii="Arial" w:hAnsi="Arial" w:cs="Arial"/>
                <w:b/>
                <w:sz w:val="22"/>
                <w:szCs w:val="22"/>
              </w:rPr>
              <w:t>S</w:t>
            </w:r>
            <w:r>
              <w:rPr>
                <w:rFonts w:ascii="Arial" w:hAnsi="Arial" w:cs="Arial"/>
                <w:b/>
                <w:sz w:val="22"/>
                <w:szCs w:val="22"/>
              </w:rPr>
              <w:t>P</w:t>
            </w:r>
            <w:bookmarkStart w:id="0" w:name="_GoBack"/>
            <w:bookmarkEnd w:id="0"/>
            <w:r w:rsidRPr="00DF2116">
              <w:rPr>
                <w:rFonts w:ascii="Arial" w:hAnsi="Arial" w:cs="Arial"/>
                <w:b/>
                <w:sz w:val="22"/>
                <w:szCs w:val="22"/>
              </w:rPr>
              <w:t>ECCIÓN Y VIGILANCIA.</w:t>
            </w:r>
          </w:p>
          <w:p w:rsidR="0082741B" w:rsidRDefault="0082741B" w:rsidP="00A2050D">
            <w:pPr>
              <w:jc w:val="center"/>
              <w:rPr>
                <w:rFonts w:ascii="Arial" w:hAnsi="Arial" w:cs="Arial"/>
                <w:sz w:val="22"/>
                <w:szCs w:val="22"/>
              </w:rPr>
            </w:pPr>
          </w:p>
        </w:tc>
      </w:tr>
    </w:tbl>
    <w:p w:rsidR="0082741B" w:rsidRPr="00DF2116" w:rsidRDefault="0082741B" w:rsidP="0082741B">
      <w:pPr>
        <w:jc w:val="both"/>
        <w:rPr>
          <w:rFonts w:ascii="Arial" w:hAnsi="Arial" w:cs="Arial"/>
          <w:sz w:val="22"/>
          <w:szCs w:val="22"/>
        </w:rPr>
      </w:pPr>
    </w:p>
    <w:p w:rsidR="0082741B" w:rsidRPr="00C71CC3" w:rsidRDefault="0082741B" w:rsidP="0082741B">
      <w:pPr>
        <w:jc w:val="both"/>
        <w:rPr>
          <w:rFonts w:ascii="Arial" w:hAnsi="Arial" w:cs="Arial"/>
          <w:sz w:val="22"/>
          <w:szCs w:val="22"/>
        </w:rPr>
      </w:pPr>
    </w:p>
    <w:tbl>
      <w:tblPr>
        <w:tblStyle w:val="Tablaconcuadrcula"/>
        <w:tblW w:w="0" w:type="auto"/>
        <w:tblLook w:val="04A0" w:firstRow="1" w:lastRow="0" w:firstColumn="1" w:lastColumn="0" w:noHBand="0" w:noVBand="1"/>
      </w:tblPr>
      <w:tblGrid>
        <w:gridCol w:w="9629"/>
      </w:tblGrid>
      <w:tr w:rsidR="0082741B" w:rsidRPr="00C71CC3" w:rsidTr="00A2050D">
        <w:tc>
          <w:tcPr>
            <w:tcW w:w="9629" w:type="dxa"/>
          </w:tcPr>
          <w:p w:rsidR="0082741B" w:rsidRPr="00C71CC3" w:rsidRDefault="0082741B" w:rsidP="00A2050D">
            <w:pPr>
              <w:jc w:val="center"/>
              <w:rPr>
                <w:rFonts w:ascii="Arial" w:hAnsi="Arial" w:cs="Arial"/>
                <w:b/>
                <w:sz w:val="22"/>
                <w:szCs w:val="22"/>
              </w:rPr>
            </w:pPr>
            <w:r w:rsidRPr="00C71CC3">
              <w:rPr>
                <w:rFonts w:ascii="Arial" w:hAnsi="Arial" w:cs="Arial"/>
                <w:b/>
                <w:sz w:val="22"/>
                <w:szCs w:val="22"/>
              </w:rPr>
              <w:t>ORDEN DEL DÍA.</w:t>
            </w:r>
          </w:p>
        </w:tc>
      </w:tr>
    </w:tbl>
    <w:p w:rsidR="00BD4E36" w:rsidRDefault="00BD4E36" w:rsidP="0082741B">
      <w:pPr>
        <w:jc w:val="both"/>
      </w:pPr>
    </w:p>
    <w:p w:rsidR="0082741B" w:rsidRDefault="0082741B" w:rsidP="0082741B">
      <w:pPr>
        <w:jc w:val="both"/>
      </w:pPr>
    </w:p>
    <w:p w:rsidR="0082741B" w:rsidRPr="009272CA" w:rsidRDefault="0082741B" w:rsidP="0082741B">
      <w:pPr>
        <w:ind w:right="98"/>
        <w:jc w:val="both"/>
        <w:rPr>
          <w:rFonts w:ascii="Arial" w:hAnsi="Arial" w:cs="Arial"/>
        </w:rPr>
      </w:pPr>
      <w:r w:rsidRPr="0082741B">
        <w:rPr>
          <w:rFonts w:ascii="Arial" w:hAnsi="Arial" w:cs="Arial"/>
          <w:b/>
        </w:rPr>
        <w:t xml:space="preserve">1.- </w:t>
      </w:r>
      <w:r w:rsidRPr="009272CA">
        <w:rPr>
          <w:rFonts w:ascii="Arial" w:hAnsi="Arial" w:cs="Arial"/>
        </w:rPr>
        <w:t>Lista de asistencia, verificación y declaración de Quórum Legal y en su caso aprobación de la orden del día.</w:t>
      </w:r>
    </w:p>
    <w:p w:rsidR="0082741B" w:rsidRDefault="0082741B" w:rsidP="0082741B">
      <w:pPr>
        <w:ind w:right="98"/>
        <w:jc w:val="both"/>
        <w:rPr>
          <w:rFonts w:ascii="Arial" w:hAnsi="Arial" w:cs="Arial"/>
          <w:b/>
        </w:rPr>
      </w:pPr>
    </w:p>
    <w:p w:rsidR="0082741B" w:rsidRPr="009272CA" w:rsidRDefault="0082741B" w:rsidP="0082741B">
      <w:pPr>
        <w:ind w:right="98"/>
        <w:jc w:val="both"/>
        <w:rPr>
          <w:rFonts w:ascii="Arial" w:hAnsi="Arial" w:cs="Arial"/>
          <w:b/>
        </w:rPr>
      </w:pPr>
      <w:r w:rsidRPr="009272CA">
        <w:rPr>
          <w:rFonts w:ascii="Arial" w:hAnsi="Arial" w:cs="Arial"/>
          <w:b/>
        </w:rPr>
        <w:t>2.</w:t>
      </w:r>
      <w:r w:rsidRPr="009272CA">
        <w:rPr>
          <w:rFonts w:ascii="Arial" w:hAnsi="Arial" w:cs="Arial"/>
        </w:rPr>
        <w:t xml:space="preserve">Estudio, revisión y en su caso procedencia y dictaminación de la solicitud presentada por la C.MARÍA MARTA GÓMEZ BAUTISTA, para otorgamiento de licencia municipal de funcionamiento con giro venta de cerveza en envase cerrado, denominado “ABARROTES GÓMEZ” en el domicilio de Melchor Ocampo #297-B colonia centro de esta ciudad.  </w:t>
      </w:r>
    </w:p>
    <w:p w:rsidR="0082741B" w:rsidRDefault="0082741B" w:rsidP="0082741B">
      <w:pPr>
        <w:ind w:right="98"/>
        <w:jc w:val="both"/>
        <w:rPr>
          <w:rFonts w:ascii="Arial" w:hAnsi="Arial" w:cs="Arial"/>
          <w:b/>
        </w:rPr>
      </w:pPr>
    </w:p>
    <w:p w:rsidR="0082741B" w:rsidRPr="009272CA" w:rsidRDefault="0082741B" w:rsidP="0082741B">
      <w:pPr>
        <w:ind w:right="98"/>
        <w:jc w:val="both"/>
        <w:rPr>
          <w:rFonts w:ascii="Arial" w:hAnsi="Arial" w:cs="Arial"/>
        </w:rPr>
      </w:pPr>
      <w:r w:rsidRPr="009272CA">
        <w:rPr>
          <w:rFonts w:ascii="Arial" w:hAnsi="Arial" w:cs="Arial"/>
          <w:b/>
        </w:rPr>
        <w:t>3.</w:t>
      </w:r>
      <w:r w:rsidRPr="009272CA">
        <w:rPr>
          <w:rFonts w:ascii="Arial" w:hAnsi="Arial" w:cs="Arial"/>
        </w:rPr>
        <w:t>Asuntos Varios.</w:t>
      </w:r>
    </w:p>
    <w:p w:rsidR="0082741B" w:rsidRDefault="0082741B" w:rsidP="0082741B">
      <w:pPr>
        <w:ind w:right="98"/>
        <w:jc w:val="both"/>
        <w:rPr>
          <w:rFonts w:ascii="Arial" w:hAnsi="Arial" w:cs="Arial"/>
          <w:b/>
        </w:rPr>
      </w:pPr>
    </w:p>
    <w:p w:rsidR="0082741B" w:rsidRPr="009272CA" w:rsidRDefault="0082741B" w:rsidP="0082741B">
      <w:pPr>
        <w:ind w:right="98"/>
        <w:jc w:val="both"/>
        <w:rPr>
          <w:rFonts w:ascii="Arial" w:hAnsi="Arial" w:cs="Arial"/>
        </w:rPr>
      </w:pPr>
      <w:r w:rsidRPr="009272CA">
        <w:rPr>
          <w:rFonts w:ascii="Arial" w:hAnsi="Arial" w:cs="Arial"/>
          <w:b/>
        </w:rPr>
        <w:t>4.</w:t>
      </w:r>
      <w:r w:rsidRPr="009272CA">
        <w:rPr>
          <w:rFonts w:ascii="Arial" w:hAnsi="Arial" w:cs="Arial"/>
        </w:rPr>
        <w:t>Clausura.</w:t>
      </w:r>
    </w:p>
    <w:p w:rsidR="0082741B" w:rsidRDefault="0082741B" w:rsidP="0082741B">
      <w:pPr>
        <w:jc w:val="both"/>
      </w:pPr>
    </w:p>
    <w:p w:rsidR="0082741B" w:rsidRDefault="0082741B" w:rsidP="0082741B">
      <w:pPr>
        <w:jc w:val="both"/>
      </w:pPr>
    </w:p>
    <w:p w:rsidR="0082741B" w:rsidRDefault="0082741B" w:rsidP="0082741B">
      <w:pPr>
        <w:jc w:val="both"/>
      </w:pPr>
    </w:p>
    <w:p w:rsidR="0082741B" w:rsidRPr="0082741B" w:rsidRDefault="0082741B" w:rsidP="0082741B">
      <w:pPr>
        <w:jc w:val="both"/>
        <w:rPr>
          <w:rFonts w:ascii="Arial" w:hAnsi="Arial" w:cs="Arial"/>
          <w:sz w:val="20"/>
          <w:szCs w:val="20"/>
        </w:rPr>
      </w:pPr>
      <w:r w:rsidRPr="0082741B">
        <w:rPr>
          <w:rFonts w:ascii="Arial" w:hAnsi="Arial" w:cs="Arial"/>
          <w:sz w:val="20"/>
          <w:szCs w:val="20"/>
        </w:rPr>
        <w:t xml:space="preserve">*JJJP/mgpa. Regidores. </w:t>
      </w:r>
    </w:p>
    <w:sectPr w:rsidR="0082741B" w:rsidRPr="0082741B" w:rsidSect="00AF47C4">
      <w:headerReference w:type="default" r:id="rId4"/>
      <w:pgSz w:w="12240" w:h="15840"/>
      <w:pgMar w:top="1417" w:right="900" w:bottom="1417" w:left="1701" w:header="1417"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82741B">
    <w:pPr>
      <w:pStyle w:val="Encabezado"/>
    </w:pPr>
    <w:r>
      <w:rPr>
        <w:lang w:val="es-MX" w:eastAsia="es-MX"/>
      </w:rPr>
      <w:drawing>
        <wp:anchor distT="0" distB="0" distL="114300" distR="114300" simplePos="0" relativeHeight="251659264" behindDoc="1" locked="0" layoutInCell="1" allowOverlap="1" wp14:anchorId="7B5F322E" wp14:editId="0E14FEE2">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1B"/>
    <w:rsid w:val="0082741B"/>
    <w:rsid w:val="00BD4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B4AA"/>
  <w15:chartTrackingRefBased/>
  <w15:docId w15:val="{EF4CEE17-CC20-4152-A4C6-EEAB268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1B"/>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41B"/>
    <w:pPr>
      <w:tabs>
        <w:tab w:val="center" w:pos="4419"/>
        <w:tab w:val="right" w:pos="8838"/>
      </w:tabs>
    </w:pPr>
  </w:style>
  <w:style w:type="character" w:customStyle="1" w:styleId="EncabezadoCar">
    <w:name w:val="Encabezado Car"/>
    <w:basedOn w:val="Fuentedeprrafopredeter"/>
    <w:link w:val="Encabezado"/>
    <w:uiPriority w:val="99"/>
    <w:rsid w:val="0082741B"/>
    <w:rPr>
      <w:rFonts w:eastAsiaTheme="minorEastAsia"/>
      <w:noProof/>
      <w:sz w:val="24"/>
      <w:szCs w:val="24"/>
      <w:lang w:val="es-ES_tradnl" w:eastAsia="es-ES"/>
    </w:rPr>
  </w:style>
  <w:style w:type="table" w:styleId="Tablaconcuadrcula">
    <w:name w:val="Table Grid"/>
    <w:basedOn w:val="Tablanormal"/>
    <w:uiPriority w:val="59"/>
    <w:rsid w:val="0082741B"/>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2023-12-22T16:34:00Z</dcterms:created>
  <dcterms:modified xsi:type="dcterms:W3CDTF">2023-12-22T16:36:00Z</dcterms:modified>
</cp:coreProperties>
</file>