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9488"/>
      </w:tblGrid>
      <w:tr w:rsidR="00545C87" w:rsidTr="00645294">
        <w:tc>
          <w:tcPr>
            <w:tcW w:w="9488" w:type="dxa"/>
          </w:tcPr>
          <w:p w:rsidR="00545C87" w:rsidRDefault="00545C87" w:rsidP="00645294">
            <w:pPr>
              <w:jc w:val="center"/>
              <w:rPr>
                <w:rFonts w:ascii="Arial" w:hAnsi="Arial" w:cs="Arial"/>
                <w:b/>
              </w:rPr>
            </w:pPr>
            <w:r>
              <w:rPr>
                <w:rFonts w:ascii="Arial" w:hAnsi="Arial" w:cs="Arial"/>
                <w:b/>
              </w:rPr>
              <w:t xml:space="preserve">CONTINUACIÓN DE LA </w:t>
            </w:r>
            <w:r>
              <w:rPr>
                <w:rFonts w:ascii="Arial" w:hAnsi="Arial" w:cs="Arial"/>
                <w:b/>
              </w:rPr>
              <w:t>DÉCIMA</w:t>
            </w:r>
            <w:r>
              <w:rPr>
                <w:rFonts w:ascii="Arial" w:hAnsi="Arial" w:cs="Arial"/>
                <w:b/>
              </w:rPr>
              <w:t xml:space="preserve"> SESIÓN ORDINARIA </w:t>
            </w:r>
          </w:p>
          <w:p w:rsidR="00545C87" w:rsidRDefault="00545C87" w:rsidP="00545C87">
            <w:pPr>
              <w:jc w:val="center"/>
              <w:rPr>
                <w:rFonts w:ascii="Arial" w:hAnsi="Arial" w:cs="Arial"/>
                <w:b/>
              </w:rPr>
            </w:pPr>
            <w:r>
              <w:rPr>
                <w:rFonts w:ascii="Arial" w:hAnsi="Arial" w:cs="Arial"/>
                <w:b/>
              </w:rPr>
              <w:t xml:space="preserve"> </w:t>
            </w:r>
            <w:r>
              <w:rPr>
                <w:rFonts w:ascii="Arial" w:hAnsi="Arial" w:cs="Arial"/>
                <w:b/>
              </w:rPr>
              <w:t>COMISIÓN EDILICIA PERMANENTE DE ESPECTACULOS PÚBLICOS</w:t>
            </w:r>
          </w:p>
          <w:p w:rsidR="00545C87" w:rsidRDefault="00545C87" w:rsidP="00545C87">
            <w:pPr>
              <w:jc w:val="center"/>
              <w:rPr>
                <w:rFonts w:ascii="Arial" w:hAnsi="Arial" w:cs="Arial"/>
                <w:b/>
              </w:rPr>
            </w:pPr>
            <w:r>
              <w:rPr>
                <w:rFonts w:ascii="Arial" w:hAnsi="Arial" w:cs="Arial"/>
                <w:b/>
              </w:rPr>
              <w:t xml:space="preserve">E INSPECCIÓN Y VIGILANCIA. </w:t>
            </w:r>
          </w:p>
          <w:p w:rsidR="00545C87" w:rsidRDefault="00545C87" w:rsidP="00545C87">
            <w:pPr>
              <w:jc w:val="center"/>
              <w:rPr>
                <w:rFonts w:ascii="Arial" w:hAnsi="Arial" w:cs="Arial"/>
                <w:b/>
              </w:rPr>
            </w:pPr>
            <w:r>
              <w:rPr>
                <w:rFonts w:ascii="Arial" w:hAnsi="Arial" w:cs="Arial"/>
                <w:b/>
              </w:rPr>
              <w:t xml:space="preserve">03 DE NOVIEMBRE DE 2023. </w:t>
            </w:r>
          </w:p>
          <w:p w:rsidR="00545C87" w:rsidRDefault="00545C87" w:rsidP="00645294">
            <w:pPr>
              <w:jc w:val="center"/>
              <w:rPr>
                <w:rFonts w:ascii="Arial" w:hAnsi="Arial" w:cs="Arial"/>
                <w:b/>
              </w:rPr>
            </w:pPr>
          </w:p>
        </w:tc>
      </w:tr>
    </w:tbl>
    <w:p w:rsidR="00545C87" w:rsidRDefault="00545C87" w:rsidP="00545C87">
      <w:pPr>
        <w:jc w:val="center"/>
        <w:rPr>
          <w:rFonts w:ascii="Arial" w:hAnsi="Arial" w:cs="Arial"/>
          <w:b/>
        </w:rPr>
      </w:pPr>
    </w:p>
    <w:p w:rsidR="00545C87" w:rsidRDefault="00545C87" w:rsidP="00545C87">
      <w:pPr>
        <w:jc w:val="center"/>
        <w:rPr>
          <w:rFonts w:ascii="Arial" w:hAnsi="Arial" w:cs="Arial"/>
          <w:b/>
        </w:rPr>
      </w:pPr>
    </w:p>
    <w:tbl>
      <w:tblPr>
        <w:tblStyle w:val="Tablaconcuadrcula"/>
        <w:tblW w:w="0" w:type="auto"/>
        <w:tblLook w:val="04A0" w:firstRow="1" w:lastRow="0" w:firstColumn="1" w:lastColumn="0" w:noHBand="0" w:noVBand="1"/>
      </w:tblPr>
      <w:tblGrid>
        <w:gridCol w:w="9488"/>
      </w:tblGrid>
      <w:tr w:rsidR="00545C87" w:rsidTr="00645294">
        <w:tc>
          <w:tcPr>
            <w:tcW w:w="9488" w:type="dxa"/>
          </w:tcPr>
          <w:p w:rsidR="00545C87" w:rsidRDefault="00545C87" w:rsidP="00645294">
            <w:pPr>
              <w:jc w:val="center"/>
              <w:rPr>
                <w:rFonts w:ascii="Arial" w:hAnsi="Arial" w:cs="Arial"/>
                <w:b/>
              </w:rPr>
            </w:pPr>
          </w:p>
          <w:p w:rsidR="00545C87" w:rsidRDefault="00545C87" w:rsidP="00645294">
            <w:pPr>
              <w:jc w:val="center"/>
              <w:rPr>
                <w:rFonts w:ascii="Arial" w:hAnsi="Arial" w:cs="Arial"/>
                <w:b/>
              </w:rPr>
            </w:pPr>
            <w:r>
              <w:rPr>
                <w:rFonts w:ascii="Arial" w:hAnsi="Arial" w:cs="Arial"/>
                <w:b/>
              </w:rPr>
              <w:t xml:space="preserve">INFORME DETALLADO. </w:t>
            </w:r>
          </w:p>
          <w:p w:rsidR="00545C87" w:rsidRDefault="00545C87" w:rsidP="00645294">
            <w:pPr>
              <w:jc w:val="center"/>
              <w:rPr>
                <w:rFonts w:ascii="Arial" w:hAnsi="Arial" w:cs="Arial"/>
                <w:b/>
              </w:rPr>
            </w:pPr>
          </w:p>
        </w:tc>
      </w:tr>
    </w:tbl>
    <w:p w:rsidR="00545C87" w:rsidRDefault="00545C87" w:rsidP="00545C87"/>
    <w:p w:rsidR="00545C87" w:rsidRDefault="00545C87" w:rsidP="00545C87"/>
    <w:p w:rsidR="00545C87" w:rsidRDefault="00545C87" w:rsidP="00545C87">
      <w:pPr>
        <w:jc w:val="both"/>
        <w:rPr>
          <w:rFonts w:ascii="Arial" w:hAnsi="Arial" w:cs="Arial"/>
        </w:rPr>
      </w:pPr>
      <w:r>
        <w:tab/>
      </w:r>
      <w:r>
        <w:rPr>
          <w:rFonts w:ascii="Arial" w:hAnsi="Arial" w:cs="Arial"/>
        </w:rPr>
        <w:t>S</w:t>
      </w:r>
      <w:r>
        <w:rPr>
          <w:rFonts w:ascii="Arial" w:hAnsi="Arial" w:cs="Arial"/>
        </w:rPr>
        <w:t xml:space="preserve">e analizó, estudió y se analizó la procedencia de la solicitud de ampliación de horario del giro comercial de Billar con consumo de cerveza, presentada por la C. Marìa Magdalena Navarro Galindo, respecto de la licencia de funcionamiento número B-011457, “Billar Maos 22”, la cual no fue aprobada por la Comisión Edilicia de mérito, en virtud de que el dictamen vial no era factible y por no contar con los programas de prevención de accidentes. Enviando la negativa al Pleno del Honorable Ayuntamiento Constitucional de Zapotlán el Grande, para su respectiva aprobación. </w:t>
      </w:r>
      <w:bookmarkStart w:id="0" w:name="_GoBack"/>
      <w:bookmarkEnd w:id="0"/>
    </w:p>
    <w:p w:rsidR="00545C87" w:rsidRDefault="00545C87" w:rsidP="00545C87">
      <w:pPr>
        <w:jc w:val="both"/>
        <w:rPr>
          <w:rFonts w:ascii="Arial" w:hAnsi="Arial" w:cs="Arial"/>
        </w:rPr>
      </w:pPr>
    </w:p>
    <w:p w:rsidR="00545C87" w:rsidRPr="00210809" w:rsidRDefault="00545C87" w:rsidP="00545C87">
      <w:pPr>
        <w:rPr>
          <w:rFonts w:ascii="Arial" w:hAnsi="Arial" w:cs="Arial"/>
          <w:sz w:val="16"/>
          <w:szCs w:val="16"/>
        </w:rPr>
      </w:pPr>
      <w:r>
        <w:rPr>
          <w:rFonts w:ascii="Arial" w:hAnsi="Arial" w:cs="Arial"/>
        </w:rPr>
        <w:t>*</w:t>
      </w:r>
      <w:r>
        <w:rPr>
          <w:rFonts w:ascii="Arial" w:hAnsi="Arial" w:cs="Arial"/>
          <w:sz w:val="16"/>
          <w:szCs w:val="16"/>
        </w:rPr>
        <w:t xml:space="preserve">JJJP/mgpa. Regidores. </w:t>
      </w:r>
    </w:p>
    <w:p w:rsidR="00545C87" w:rsidRDefault="00545C87" w:rsidP="00545C87"/>
    <w:p w:rsidR="00545C87" w:rsidRDefault="00545C87" w:rsidP="00545C87"/>
    <w:p w:rsidR="00545C87" w:rsidRDefault="00545C87" w:rsidP="00545C87"/>
    <w:p w:rsidR="00545C87" w:rsidRDefault="00545C87" w:rsidP="00545C87"/>
    <w:p w:rsidR="00803F98" w:rsidRDefault="00803F98"/>
    <w:sectPr w:rsidR="00803F98" w:rsidSect="00945AAD">
      <w:headerReference w:type="even" r:id="rId4"/>
      <w:headerReference w:type="default" r:id="rId5"/>
      <w:footerReference w:type="default" r:id="rId6"/>
      <w:headerReference w:type="first" r:id="rId7"/>
      <w:pgSz w:w="12240" w:h="15840"/>
      <w:pgMar w:top="2552"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757904"/>
      <w:docPartObj>
        <w:docPartGallery w:val="Page Numbers (Bottom of Page)"/>
        <w:docPartUnique/>
      </w:docPartObj>
    </w:sdtPr>
    <w:sdtEndPr/>
    <w:sdtContent>
      <w:p w:rsidR="00BE0B8D" w:rsidRDefault="00545C87">
        <w:pPr>
          <w:pStyle w:val="Piedepgina"/>
          <w:jc w:val="right"/>
        </w:pPr>
        <w:r>
          <w:fldChar w:fldCharType="begin"/>
        </w:r>
        <w:r>
          <w:instrText>PAGE   \* MERGEFORMAT</w:instrText>
        </w:r>
        <w:r>
          <w:fldChar w:fldCharType="separate"/>
        </w:r>
        <w:r w:rsidRPr="00545C87">
          <w:rPr>
            <w:lang w:val="es-ES"/>
          </w:rPr>
          <w:t>1</w:t>
        </w:r>
        <w:r>
          <w:fldChar w:fldCharType="end"/>
        </w:r>
      </w:p>
    </w:sdtContent>
  </w:sdt>
  <w:p w:rsidR="00BE0B8D" w:rsidRDefault="00545C87">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545C87">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545C87">
    <w:pPr>
      <w:pStyle w:val="Encabezado"/>
    </w:pPr>
    <w:r>
      <w:rPr>
        <w:lang w:val="es-MX" w:eastAsia="es-MX"/>
      </w:rPr>
      <w:drawing>
        <wp:anchor distT="0" distB="0" distL="114300" distR="114300" simplePos="0" relativeHeight="251662336" behindDoc="0" locked="0" layoutInCell="1" allowOverlap="1" wp14:anchorId="32FA80D5" wp14:editId="4F2D424C">
          <wp:simplePos x="0" y="0"/>
          <wp:positionH relativeFrom="margin">
            <wp:posOffset>3697605</wp:posOffset>
          </wp:positionH>
          <wp:positionV relativeFrom="paragraph">
            <wp:posOffset>-116205</wp:posOffset>
          </wp:positionV>
          <wp:extent cx="2409825" cy="819150"/>
          <wp:effectExtent l="0" t="0" r="9525" b="0"/>
          <wp:wrapSquare wrapText="bothSides"/>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pic:spPr>
              </pic:pic>
            </a:graphicData>
          </a:graphic>
          <wp14:sizeRelH relativeFrom="margin">
            <wp14:pctWidth>0</wp14:pctWidth>
          </wp14:sizeRelH>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8.55pt;margin-top:-127.7pt;width:612pt;height:11in;z-index:-251656192;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545C87">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alt="" style="position:absolute;margin-left:0;margin-top:0;width:612pt;height:11in;z-index:-25165516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87"/>
    <w:rsid w:val="00545C87"/>
    <w:rsid w:val="00803F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AB1DC9"/>
  <w15:chartTrackingRefBased/>
  <w15:docId w15:val="{F947E93D-4794-4F8D-99B8-6EC0E259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C87"/>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5C87"/>
    <w:pPr>
      <w:tabs>
        <w:tab w:val="center" w:pos="4252"/>
        <w:tab w:val="right" w:pos="8504"/>
      </w:tabs>
    </w:pPr>
  </w:style>
  <w:style w:type="character" w:customStyle="1" w:styleId="EncabezadoCar">
    <w:name w:val="Encabezado Car"/>
    <w:basedOn w:val="Fuentedeprrafopredeter"/>
    <w:link w:val="Encabezado"/>
    <w:uiPriority w:val="99"/>
    <w:rsid w:val="00545C87"/>
    <w:rPr>
      <w:rFonts w:eastAsiaTheme="minorEastAsia"/>
      <w:noProof/>
      <w:sz w:val="24"/>
      <w:szCs w:val="24"/>
      <w:lang w:val="es-ES_tradnl" w:eastAsia="es-ES"/>
    </w:rPr>
  </w:style>
  <w:style w:type="paragraph" w:styleId="Piedepgina">
    <w:name w:val="footer"/>
    <w:basedOn w:val="Normal"/>
    <w:link w:val="PiedepginaCar"/>
    <w:uiPriority w:val="99"/>
    <w:unhideWhenUsed/>
    <w:rsid w:val="00545C87"/>
    <w:pPr>
      <w:tabs>
        <w:tab w:val="center" w:pos="4252"/>
        <w:tab w:val="right" w:pos="8504"/>
      </w:tabs>
    </w:pPr>
  </w:style>
  <w:style w:type="character" w:customStyle="1" w:styleId="PiedepginaCar">
    <w:name w:val="Pie de página Car"/>
    <w:basedOn w:val="Fuentedeprrafopredeter"/>
    <w:link w:val="Piedepgina"/>
    <w:uiPriority w:val="99"/>
    <w:rsid w:val="00545C87"/>
    <w:rPr>
      <w:rFonts w:eastAsiaTheme="minorEastAsia"/>
      <w:noProof/>
      <w:sz w:val="24"/>
      <w:szCs w:val="24"/>
      <w:lang w:val="es-ES_tradnl" w:eastAsia="es-ES"/>
    </w:rPr>
  </w:style>
  <w:style w:type="table" w:styleId="Tablaconcuadrcula">
    <w:name w:val="Table Grid"/>
    <w:basedOn w:val="Tablanormal"/>
    <w:uiPriority w:val="39"/>
    <w:rsid w:val="00545C87"/>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120</Words>
  <Characters>666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2024-01-19T19:47:00Z</dcterms:created>
  <dcterms:modified xsi:type="dcterms:W3CDTF">2024-01-19T19:52:00Z</dcterms:modified>
</cp:coreProperties>
</file>