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AE3" w:rsidRPr="00B9296A" w:rsidRDefault="00637AE3" w:rsidP="00637AE3">
      <w:pPr>
        <w:pBdr>
          <w:top w:val="nil"/>
          <w:left w:val="nil"/>
          <w:bottom w:val="nil"/>
          <w:right w:val="nil"/>
          <w:between w:val="nil"/>
          <w:bar w:val="nil"/>
        </w:pBdr>
        <w:spacing w:after="0" w:line="240" w:lineRule="auto"/>
        <w:jc w:val="right"/>
        <w:rPr>
          <w:rFonts w:ascii="Arial" w:eastAsia="Arial Unicode MS" w:hAnsi="Arial" w:cs="Arial"/>
          <w:b/>
          <w:szCs w:val="24"/>
          <w:bdr w:val="nil"/>
        </w:rPr>
      </w:pPr>
    </w:p>
    <w:p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b/>
          <w:sz w:val="24"/>
          <w:szCs w:val="24"/>
          <w:bdr w:val="nil"/>
        </w:rPr>
      </w:pPr>
      <w:r w:rsidRPr="00B9296A">
        <w:rPr>
          <w:rFonts w:ascii="Arial" w:eastAsia="Arial Unicode MS" w:hAnsi="Arial" w:cs="Arial"/>
          <w:b/>
          <w:sz w:val="24"/>
          <w:szCs w:val="24"/>
          <w:bdr w:val="nil"/>
        </w:rPr>
        <w:t>HONORABLE AYUNTAMIENTO CONSTITUCIONAL</w:t>
      </w:r>
    </w:p>
    <w:p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b/>
          <w:sz w:val="24"/>
          <w:szCs w:val="24"/>
          <w:bdr w:val="nil"/>
        </w:rPr>
      </w:pPr>
      <w:r w:rsidRPr="00B9296A">
        <w:rPr>
          <w:rFonts w:ascii="Arial" w:eastAsia="Arial Unicode MS" w:hAnsi="Arial" w:cs="Arial"/>
          <w:b/>
          <w:sz w:val="24"/>
          <w:szCs w:val="24"/>
          <w:bdr w:val="nil"/>
        </w:rPr>
        <w:t>DE ZAPOTLÁN EL GRANDE, JALISCO</w:t>
      </w:r>
    </w:p>
    <w:p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sz w:val="24"/>
          <w:szCs w:val="24"/>
          <w:bdr w:val="nil"/>
        </w:rPr>
      </w:pPr>
      <w:r w:rsidRPr="00B9296A">
        <w:rPr>
          <w:rFonts w:ascii="Arial" w:eastAsia="Arial Unicode MS" w:hAnsi="Arial" w:cs="Arial"/>
          <w:b/>
          <w:sz w:val="24"/>
          <w:szCs w:val="24"/>
          <w:bdr w:val="nil"/>
        </w:rPr>
        <w:t>P R E S E N T E</w:t>
      </w:r>
    </w:p>
    <w:p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sz w:val="24"/>
          <w:szCs w:val="24"/>
          <w:bdr w:val="nil"/>
        </w:rPr>
      </w:pPr>
      <w:r w:rsidRPr="00B9296A">
        <w:rPr>
          <w:rFonts w:ascii="Arial" w:eastAsia="Arial Unicode MS" w:hAnsi="Arial" w:cs="Arial"/>
          <w:sz w:val="24"/>
          <w:szCs w:val="24"/>
          <w:bdr w:val="nil"/>
        </w:rPr>
        <w:tab/>
      </w:r>
      <w:r w:rsidRPr="00B9296A">
        <w:rPr>
          <w:rFonts w:ascii="Arial" w:eastAsia="Arial Unicode MS" w:hAnsi="Arial" w:cs="Arial"/>
          <w:sz w:val="24"/>
          <w:szCs w:val="24"/>
          <w:bdr w:val="nil"/>
        </w:rPr>
        <w:tab/>
      </w:r>
    </w:p>
    <w:p w:rsidR="00637AE3" w:rsidRPr="00254E28" w:rsidRDefault="00637AE3" w:rsidP="00637AE3">
      <w:pPr>
        <w:pBdr>
          <w:top w:val="nil"/>
          <w:left w:val="nil"/>
          <w:bottom w:val="nil"/>
          <w:right w:val="nil"/>
          <w:between w:val="nil"/>
          <w:bar w:val="nil"/>
        </w:pBdr>
        <w:spacing w:after="0" w:line="240" w:lineRule="auto"/>
        <w:jc w:val="both"/>
        <w:rPr>
          <w:rFonts w:ascii="Arial" w:eastAsia="Arial Unicode MS" w:hAnsi="Arial" w:cs="Arial"/>
          <w:sz w:val="24"/>
          <w:szCs w:val="24"/>
          <w:bdr w:val="nil"/>
          <w:lang w:val="es-ES"/>
        </w:rPr>
      </w:pPr>
      <w:r w:rsidRPr="00254E28">
        <w:rPr>
          <w:rFonts w:ascii="Arial" w:eastAsia="Arial Unicode MS" w:hAnsi="Arial" w:cs="Arial"/>
          <w:sz w:val="24"/>
          <w:szCs w:val="24"/>
          <w:bdr w:val="nil"/>
          <w:lang w:val="es-ES"/>
        </w:rPr>
        <w:t xml:space="preserve">Quienes motivan y suscriben </w:t>
      </w:r>
      <w:r w:rsidR="00DF254B" w:rsidRPr="00254E28">
        <w:rPr>
          <w:rFonts w:ascii="Arial" w:eastAsia="Arial Unicode MS" w:hAnsi="Arial" w:cs="Arial"/>
          <w:b/>
          <w:sz w:val="24"/>
          <w:szCs w:val="24"/>
          <w:bdr w:val="nil"/>
          <w:lang w:val="es-ES"/>
        </w:rPr>
        <w:t>LIC. LAURA ELENA MARTINEZ RUVALCABA, LIC. CINDY ESTEFANY GARCIA OROZCO, MTRO. MANUEL DE JESUS JIMENEZ GARMA, LIC. TANIA MAGDALENA BER</w:t>
      </w:r>
      <w:r w:rsidR="00AE2918" w:rsidRPr="00254E28">
        <w:rPr>
          <w:rFonts w:ascii="Arial" w:eastAsia="Arial Unicode MS" w:hAnsi="Arial" w:cs="Arial"/>
          <w:b/>
          <w:sz w:val="24"/>
          <w:szCs w:val="24"/>
          <w:bdr w:val="nil"/>
          <w:lang w:val="es-ES"/>
        </w:rPr>
        <w:t>N</w:t>
      </w:r>
      <w:r w:rsidR="00DF254B" w:rsidRPr="00254E28">
        <w:rPr>
          <w:rFonts w:ascii="Arial" w:eastAsia="Arial Unicode MS" w:hAnsi="Arial" w:cs="Arial"/>
          <w:b/>
          <w:sz w:val="24"/>
          <w:szCs w:val="24"/>
          <w:bdr w:val="nil"/>
          <w:lang w:val="es-ES"/>
        </w:rPr>
        <w:t>ARDINO JUAREZ y MTRO. NOE SAUL RAMOS GARCÍA</w:t>
      </w:r>
      <w:r w:rsidRPr="00254E28">
        <w:rPr>
          <w:rFonts w:ascii="Arial" w:eastAsia="Arial Unicode MS" w:hAnsi="Arial" w:cs="Arial"/>
          <w:sz w:val="24"/>
          <w:szCs w:val="24"/>
          <w:bdr w:val="nil"/>
          <w:lang w:val="es-ES"/>
        </w:rPr>
        <w:t>, en nuestro carácter de regidores integrantes de la Comisión Edilicia Permanente de Hacienda Pública y del Patrimonio Municipal del H. Ayuntamiento Constitucional de Zapotlán el Grande, Jalisco, con fundamento en los artículos 115 fracción I y II de nuestra Carta Magna; 1,2,3,73,77,85,88, 89 y demás relativos de la Constitución Política del Estado de Jalisco; 1,2,3,4,5,10,27,29,30,34,25,41,49, 50 de la Ley de Gobierno y la Administración Pública Municipal para el Estado de Jalisco y sus Municipios; Artículos 202 al 221 de la Ley de Hacienda Municipal del Estado de Jalisco, así como lo normado en los artículos 40,47,60,87,92,99, 104 al 109 y demás relativos y aplicables del Reglamento Interior del Ayuntamiento de Zapotlán el Grande, Jalisco; al amparo de lo dispuesto, presentamos a la consideración de este Pleno: “</w:t>
      </w:r>
      <w:r w:rsidRPr="00254E28">
        <w:rPr>
          <w:rFonts w:ascii="Arial" w:eastAsia="Arial Unicode MS" w:hAnsi="Arial" w:cs="Arial"/>
          <w:b/>
          <w:sz w:val="24"/>
          <w:szCs w:val="24"/>
          <w:bdr w:val="nil"/>
          <w:lang w:val="es-ES"/>
        </w:rPr>
        <w:t xml:space="preserve">DICTAMEN QUE PROPONE </w:t>
      </w:r>
      <w:r w:rsidR="00DF254B" w:rsidRPr="00254E28">
        <w:rPr>
          <w:rFonts w:ascii="Arial" w:eastAsia="Arial Unicode MS" w:hAnsi="Arial" w:cs="Arial"/>
          <w:b/>
          <w:sz w:val="24"/>
          <w:szCs w:val="24"/>
          <w:bdr w:val="nil"/>
          <w:lang w:val="es-ES"/>
        </w:rPr>
        <w:t xml:space="preserve">LA APROBACIÓN DE </w:t>
      </w:r>
      <w:r w:rsidR="002A0746" w:rsidRPr="00254E28">
        <w:rPr>
          <w:rFonts w:ascii="Arial" w:eastAsia="Arial Unicode MS" w:hAnsi="Arial" w:cs="Arial"/>
          <w:b/>
          <w:sz w:val="24"/>
          <w:szCs w:val="24"/>
          <w:bdr w:val="nil"/>
          <w:lang w:val="es-ES"/>
        </w:rPr>
        <w:t xml:space="preserve">SUSCRIBIR </w:t>
      </w:r>
      <w:r w:rsidR="0094115C" w:rsidRPr="00254E28">
        <w:rPr>
          <w:rFonts w:ascii="Arial" w:eastAsia="Arial Unicode MS" w:hAnsi="Arial" w:cs="Arial"/>
          <w:b/>
          <w:sz w:val="24"/>
          <w:szCs w:val="24"/>
          <w:bdr w:val="nil"/>
          <w:lang w:val="es-ES"/>
        </w:rPr>
        <w:t xml:space="preserve">CONTRATOS DE </w:t>
      </w:r>
      <w:r w:rsidR="00DF254B" w:rsidRPr="00254E28">
        <w:rPr>
          <w:rFonts w:ascii="Arial" w:eastAsia="Arial Unicode MS" w:hAnsi="Arial" w:cs="Arial"/>
          <w:b/>
          <w:sz w:val="24"/>
          <w:szCs w:val="24"/>
          <w:bdr w:val="nil"/>
          <w:lang w:val="es-ES"/>
        </w:rPr>
        <w:t>COMODATO</w:t>
      </w:r>
      <w:r w:rsidR="0094115C" w:rsidRPr="00254E28">
        <w:rPr>
          <w:rFonts w:ascii="Arial" w:eastAsia="Arial Unicode MS" w:hAnsi="Arial" w:cs="Arial"/>
          <w:b/>
          <w:sz w:val="24"/>
          <w:szCs w:val="24"/>
          <w:bdr w:val="nil"/>
          <w:lang w:val="es-ES"/>
        </w:rPr>
        <w:t xml:space="preserve"> DE </w:t>
      </w:r>
      <w:r w:rsidR="00117786" w:rsidRPr="00254E28">
        <w:rPr>
          <w:rFonts w:ascii="Arial" w:eastAsia="Arial Unicode MS" w:hAnsi="Arial" w:cs="Arial"/>
          <w:b/>
          <w:sz w:val="24"/>
          <w:szCs w:val="24"/>
          <w:bdr w:val="nil"/>
          <w:lang w:val="es-ES"/>
        </w:rPr>
        <w:t>0</w:t>
      </w:r>
      <w:r w:rsidR="002A0746" w:rsidRPr="00254E28">
        <w:rPr>
          <w:rFonts w:ascii="Arial" w:eastAsia="Arial Unicode MS" w:hAnsi="Arial" w:cs="Arial"/>
          <w:b/>
          <w:sz w:val="24"/>
          <w:szCs w:val="24"/>
          <w:bdr w:val="nil"/>
          <w:lang w:val="es-ES"/>
        </w:rPr>
        <w:t>8 OCHO</w:t>
      </w:r>
      <w:r w:rsidR="0094115C" w:rsidRPr="00254E28">
        <w:rPr>
          <w:rFonts w:ascii="Arial" w:eastAsia="Arial Unicode MS" w:hAnsi="Arial" w:cs="Arial"/>
          <w:b/>
          <w:sz w:val="24"/>
          <w:szCs w:val="24"/>
          <w:bdr w:val="nil"/>
          <w:lang w:val="es-ES"/>
        </w:rPr>
        <w:t xml:space="preserve"> BIENES INMUEBLES DE PROPIEDAD MUNICIPAL</w:t>
      </w:r>
      <w:r w:rsidR="00DF254B" w:rsidRPr="00254E28">
        <w:rPr>
          <w:rFonts w:ascii="Arial" w:eastAsia="Arial Unicode MS" w:hAnsi="Arial" w:cs="Arial"/>
          <w:b/>
          <w:sz w:val="24"/>
          <w:szCs w:val="24"/>
          <w:bdr w:val="nil"/>
          <w:lang w:val="es-ES"/>
        </w:rPr>
        <w:t xml:space="preserve"> </w:t>
      </w:r>
      <w:r w:rsidR="0094115C" w:rsidRPr="00254E28">
        <w:rPr>
          <w:rFonts w:ascii="Arial" w:eastAsia="Arial Unicode MS" w:hAnsi="Arial" w:cs="Arial"/>
          <w:b/>
          <w:sz w:val="24"/>
          <w:szCs w:val="24"/>
          <w:bdr w:val="nil"/>
          <w:lang w:val="es-ES"/>
        </w:rPr>
        <w:t xml:space="preserve">A FAVOR DEL SISTEMA </w:t>
      </w:r>
      <w:r w:rsidR="002A0746" w:rsidRPr="00254E28">
        <w:rPr>
          <w:rFonts w:ascii="Arial" w:eastAsia="Arial Unicode MS" w:hAnsi="Arial" w:cs="Arial"/>
          <w:b/>
          <w:sz w:val="24"/>
          <w:szCs w:val="24"/>
          <w:bdr w:val="nil"/>
          <w:lang w:val="es-ES"/>
        </w:rPr>
        <w:t>DE AGUA POTABLE DE ZAPOTLÁN, SAPAZA</w:t>
      </w:r>
      <w:r w:rsidRPr="00254E28">
        <w:rPr>
          <w:rFonts w:ascii="Arial" w:eastAsia="Arial Unicode MS" w:hAnsi="Arial" w:cs="Arial"/>
          <w:b/>
          <w:sz w:val="24"/>
          <w:szCs w:val="24"/>
          <w:bdr w:val="nil"/>
          <w:lang w:val="es-ES"/>
        </w:rPr>
        <w:t>”</w:t>
      </w:r>
      <w:r w:rsidRPr="00254E28">
        <w:rPr>
          <w:rFonts w:ascii="Arial" w:eastAsia="Arial Unicode MS" w:hAnsi="Arial" w:cs="Arial"/>
          <w:sz w:val="24"/>
          <w:szCs w:val="24"/>
          <w:bdr w:val="nil"/>
          <w:lang w:val="es-ES"/>
        </w:rPr>
        <w:t xml:space="preserve"> de conformidad con la siguiente</w:t>
      </w:r>
    </w:p>
    <w:p w:rsidR="00637AE3" w:rsidRPr="00254E28" w:rsidRDefault="00637AE3" w:rsidP="00637AE3">
      <w:pPr>
        <w:pBdr>
          <w:top w:val="nil"/>
          <w:left w:val="nil"/>
          <w:bottom w:val="nil"/>
          <w:right w:val="nil"/>
          <w:between w:val="nil"/>
          <w:bar w:val="nil"/>
        </w:pBdr>
        <w:spacing w:after="0" w:line="240" w:lineRule="auto"/>
        <w:jc w:val="both"/>
        <w:rPr>
          <w:rFonts w:ascii="Arial" w:eastAsia="Arial Unicode MS" w:hAnsi="Arial" w:cs="Arial"/>
          <w:sz w:val="24"/>
          <w:szCs w:val="24"/>
          <w:bdr w:val="nil"/>
          <w:lang w:val="es-ES"/>
        </w:rPr>
      </w:pPr>
    </w:p>
    <w:p w:rsidR="00637AE3" w:rsidRPr="00254E28" w:rsidRDefault="00637AE3" w:rsidP="00637AE3">
      <w:pPr>
        <w:pBdr>
          <w:top w:val="nil"/>
          <w:left w:val="nil"/>
          <w:bottom w:val="nil"/>
          <w:right w:val="nil"/>
          <w:between w:val="nil"/>
          <w:bar w:val="nil"/>
        </w:pBdr>
        <w:spacing w:after="0" w:line="240" w:lineRule="auto"/>
        <w:jc w:val="both"/>
        <w:rPr>
          <w:rFonts w:ascii="Arial" w:eastAsia="Arial Unicode MS" w:hAnsi="Arial" w:cs="Arial"/>
          <w:sz w:val="24"/>
          <w:szCs w:val="24"/>
          <w:bdr w:val="nil"/>
          <w:lang w:val="es-ES"/>
        </w:rPr>
      </w:pPr>
    </w:p>
    <w:p w:rsidR="00637AE3" w:rsidRPr="00254E28" w:rsidRDefault="00B26461" w:rsidP="00637AE3">
      <w:pPr>
        <w:pBdr>
          <w:top w:val="nil"/>
          <w:left w:val="nil"/>
          <w:bottom w:val="nil"/>
          <w:right w:val="nil"/>
          <w:between w:val="nil"/>
          <w:bar w:val="nil"/>
        </w:pBdr>
        <w:spacing w:after="0" w:line="240" w:lineRule="auto"/>
        <w:jc w:val="center"/>
        <w:rPr>
          <w:rFonts w:ascii="Arial" w:eastAsia="Arial Unicode MS" w:hAnsi="Arial" w:cs="Arial"/>
          <w:b/>
          <w:sz w:val="24"/>
          <w:szCs w:val="24"/>
          <w:bdr w:val="nil"/>
          <w:lang w:val="es-ES"/>
        </w:rPr>
      </w:pPr>
      <w:r w:rsidRPr="00254E28">
        <w:rPr>
          <w:rFonts w:ascii="Arial" w:eastAsia="Arial Unicode MS" w:hAnsi="Arial" w:cs="Arial"/>
          <w:b/>
          <w:sz w:val="24"/>
          <w:szCs w:val="24"/>
          <w:bdr w:val="nil"/>
          <w:lang w:val="es-ES"/>
        </w:rPr>
        <w:t>A N T E C E D E N T E S</w:t>
      </w:r>
      <w:r w:rsidR="00637AE3" w:rsidRPr="00254E28">
        <w:rPr>
          <w:rFonts w:ascii="Arial" w:eastAsia="Arial Unicode MS" w:hAnsi="Arial" w:cs="Arial"/>
          <w:b/>
          <w:sz w:val="24"/>
          <w:szCs w:val="24"/>
          <w:bdr w:val="nil"/>
          <w:lang w:val="es-ES"/>
        </w:rPr>
        <w:t>:</w:t>
      </w:r>
    </w:p>
    <w:p w:rsidR="001C7CFE" w:rsidRPr="00254E28" w:rsidRDefault="001C7CFE" w:rsidP="00637AE3">
      <w:pPr>
        <w:pBdr>
          <w:top w:val="nil"/>
          <w:left w:val="nil"/>
          <w:bottom w:val="nil"/>
          <w:right w:val="nil"/>
          <w:between w:val="nil"/>
          <w:bar w:val="nil"/>
        </w:pBdr>
        <w:spacing w:after="0" w:line="240" w:lineRule="auto"/>
        <w:jc w:val="center"/>
        <w:rPr>
          <w:rFonts w:ascii="Arial" w:eastAsia="Arial Unicode MS" w:hAnsi="Arial" w:cs="Arial"/>
          <w:b/>
          <w:sz w:val="24"/>
          <w:szCs w:val="24"/>
          <w:bdr w:val="nil"/>
          <w:lang w:val="es-ES"/>
        </w:rPr>
      </w:pPr>
    </w:p>
    <w:p w:rsidR="00637AE3" w:rsidRPr="00254E28" w:rsidRDefault="00637AE3" w:rsidP="00637AE3">
      <w:pPr>
        <w:pBdr>
          <w:top w:val="nil"/>
          <w:left w:val="nil"/>
          <w:bottom w:val="nil"/>
          <w:right w:val="nil"/>
          <w:between w:val="nil"/>
          <w:bar w:val="nil"/>
        </w:pBdr>
        <w:spacing w:after="0" w:line="240" w:lineRule="auto"/>
        <w:jc w:val="center"/>
        <w:rPr>
          <w:rFonts w:ascii="Arial" w:eastAsia="Arial Unicode MS" w:hAnsi="Arial" w:cs="Arial"/>
          <w:sz w:val="24"/>
          <w:szCs w:val="24"/>
          <w:bdr w:val="nil"/>
          <w:lang w:val="es-ES"/>
        </w:rPr>
      </w:pPr>
    </w:p>
    <w:p w:rsidR="00637AE3" w:rsidRPr="00254E28" w:rsidRDefault="00637AE3" w:rsidP="00637AE3">
      <w:pPr>
        <w:spacing w:after="0" w:line="240" w:lineRule="auto"/>
        <w:jc w:val="both"/>
        <w:rPr>
          <w:rFonts w:ascii="Arial" w:eastAsia="Arial Unicode MS" w:hAnsi="Arial" w:cs="Arial"/>
          <w:sz w:val="24"/>
          <w:szCs w:val="24"/>
          <w:bdr w:val="nil"/>
          <w:lang w:val="es-ES"/>
        </w:rPr>
      </w:pPr>
      <w:r w:rsidRPr="00254E28">
        <w:rPr>
          <w:rFonts w:ascii="Arial" w:eastAsia="Arial Unicode MS" w:hAnsi="Arial" w:cs="Arial"/>
          <w:b/>
          <w:sz w:val="24"/>
          <w:szCs w:val="24"/>
          <w:bdr w:val="nil"/>
          <w:lang w:val="es-ES"/>
        </w:rPr>
        <w:t>I.-</w:t>
      </w:r>
      <w:r w:rsidRPr="00254E28">
        <w:rPr>
          <w:rFonts w:ascii="Arial" w:eastAsia="Arial Unicode MS" w:hAnsi="Arial" w:cs="Arial"/>
          <w:sz w:val="24"/>
          <w:szCs w:val="24"/>
          <w:bdr w:val="nil"/>
          <w:lang w:val="es-ES"/>
        </w:rPr>
        <w:t xml:space="preserve"> 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w:t>
      </w:r>
      <w:r w:rsidR="00F01889" w:rsidRPr="00254E28">
        <w:rPr>
          <w:rFonts w:ascii="Arial" w:eastAsia="Arial Unicode MS" w:hAnsi="Arial" w:cs="Arial"/>
          <w:sz w:val="24"/>
          <w:szCs w:val="24"/>
          <w:bdr w:val="nil"/>
          <w:lang w:val="es-ES"/>
        </w:rPr>
        <w:t xml:space="preserve">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w:t>
      </w:r>
    </w:p>
    <w:p w:rsidR="00F01889" w:rsidRPr="00254E28" w:rsidRDefault="00F01889" w:rsidP="00637AE3">
      <w:pPr>
        <w:spacing w:after="0" w:line="240" w:lineRule="auto"/>
        <w:jc w:val="both"/>
        <w:rPr>
          <w:rFonts w:ascii="Arial" w:eastAsia="Arial Unicode MS" w:hAnsi="Arial" w:cs="Arial"/>
          <w:sz w:val="24"/>
          <w:szCs w:val="24"/>
          <w:bdr w:val="nil"/>
          <w:lang w:val="es-ES"/>
        </w:rPr>
      </w:pPr>
    </w:p>
    <w:p w:rsidR="00637AE3" w:rsidRPr="00254E28" w:rsidRDefault="00637AE3" w:rsidP="00637AE3">
      <w:pPr>
        <w:spacing w:after="0" w:line="240" w:lineRule="auto"/>
        <w:jc w:val="both"/>
        <w:rPr>
          <w:rFonts w:ascii="Arial" w:eastAsia="Arial Unicode MS" w:hAnsi="Arial" w:cs="Arial"/>
          <w:sz w:val="24"/>
          <w:szCs w:val="24"/>
          <w:bdr w:val="nil"/>
          <w:lang w:val="es-ES"/>
        </w:rPr>
      </w:pPr>
      <w:r w:rsidRPr="00254E28">
        <w:rPr>
          <w:rFonts w:ascii="Arial" w:eastAsia="Arial Unicode MS" w:hAnsi="Arial" w:cs="Arial"/>
          <w:b/>
          <w:sz w:val="24"/>
          <w:szCs w:val="24"/>
          <w:bdr w:val="nil"/>
          <w:lang w:val="es-ES"/>
        </w:rPr>
        <w:t>II.-</w:t>
      </w:r>
      <w:r w:rsidRPr="00254E28">
        <w:rPr>
          <w:rFonts w:ascii="Arial" w:eastAsia="Arial Unicode MS" w:hAnsi="Arial" w:cs="Arial"/>
          <w:sz w:val="24"/>
          <w:szCs w:val="24"/>
          <w:bdr w:val="nil"/>
          <w:lang w:val="es-ES"/>
        </w:rPr>
        <w:t xml:space="preserve"> </w:t>
      </w:r>
      <w:r w:rsidR="00F01889" w:rsidRPr="00254E28">
        <w:rPr>
          <w:rFonts w:ascii="Arial" w:eastAsia="Arial Unicode MS" w:hAnsi="Arial" w:cs="Arial"/>
          <w:sz w:val="24"/>
          <w:szCs w:val="24"/>
          <w:bdr w:val="nil"/>
          <w:lang w:val="es-ES"/>
        </w:rPr>
        <w:t xml:space="preserve">El artículo 38 fracción II de la Ley del Gobierno y la Administración Pública Municipal del Estado de Jalisco, señala que el Ayuntamiento tiene la facultad para celebrar convenios con organismos públicos y privados tendientes a la realización de obras de </w:t>
      </w:r>
      <w:r w:rsidR="00F01889" w:rsidRPr="00254E28">
        <w:rPr>
          <w:rFonts w:ascii="Arial" w:eastAsia="Arial Unicode MS" w:hAnsi="Arial" w:cs="Arial"/>
          <w:sz w:val="24"/>
          <w:szCs w:val="24"/>
          <w:bdr w:val="nil"/>
          <w:lang w:val="es-ES"/>
        </w:rPr>
        <w:lastRenderedPageBreak/>
        <w:t>interés común, siempre que no corresponda</w:t>
      </w:r>
      <w:r w:rsidR="00EB734E" w:rsidRPr="00254E28">
        <w:rPr>
          <w:rFonts w:ascii="Arial" w:eastAsia="Arial Unicode MS" w:hAnsi="Arial" w:cs="Arial"/>
          <w:sz w:val="24"/>
          <w:szCs w:val="24"/>
          <w:bdr w:val="nil"/>
          <w:lang w:val="es-ES"/>
        </w:rPr>
        <w:t xml:space="preserve"> su realización al Estado, así como celebrar contratos de asociación público-privada para el desarrollo de proyectos de inversión e infraestructura o de prestación de servicios o funciones, en los términos establecidos en la legislación que regula la materia.</w:t>
      </w:r>
    </w:p>
    <w:p w:rsidR="00BB3E7C" w:rsidRPr="00254E28" w:rsidRDefault="00BB3E7C" w:rsidP="00637AE3">
      <w:pPr>
        <w:spacing w:after="0" w:line="240" w:lineRule="auto"/>
        <w:jc w:val="both"/>
        <w:rPr>
          <w:rFonts w:ascii="Arial" w:eastAsia="Arial Unicode MS" w:hAnsi="Arial" w:cs="Arial"/>
          <w:sz w:val="24"/>
          <w:szCs w:val="24"/>
          <w:bdr w:val="nil"/>
          <w:lang w:val="es-ES"/>
        </w:rPr>
      </w:pPr>
    </w:p>
    <w:p w:rsidR="00E75E91" w:rsidRPr="00254E28" w:rsidRDefault="00BB3E7C" w:rsidP="002A0746">
      <w:pPr>
        <w:spacing w:after="0" w:line="240" w:lineRule="auto"/>
        <w:jc w:val="both"/>
        <w:rPr>
          <w:rFonts w:ascii="Arial" w:eastAsia="Arial Unicode MS" w:hAnsi="Arial" w:cs="Arial"/>
          <w:sz w:val="24"/>
          <w:szCs w:val="24"/>
          <w:bdr w:val="nil"/>
          <w:lang w:val="es-ES"/>
        </w:rPr>
      </w:pPr>
      <w:r w:rsidRPr="00254E28">
        <w:rPr>
          <w:rFonts w:ascii="Arial" w:eastAsia="Arial Unicode MS" w:hAnsi="Arial" w:cs="Arial"/>
          <w:b/>
          <w:sz w:val="24"/>
          <w:szCs w:val="24"/>
          <w:bdr w:val="nil"/>
          <w:lang w:val="es-ES"/>
        </w:rPr>
        <w:t xml:space="preserve">III.- </w:t>
      </w:r>
      <w:r w:rsidR="00B53FDB" w:rsidRPr="00254E28">
        <w:rPr>
          <w:rFonts w:ascii="Arial" w:eastAsia="Arial Unicode MS" w:hAnsi="Arial" w:cs="Arial"/>
          <w:sz w:val="24"/>
          <w:szCs w:val="24"/>
          <w:bdr w:val="nil"/>
          <w:lang w:val="es-ES"/>
        </w:rPr>
        <w:t>El día 05 de julio del año 2019, fu</w:t>
      </w:r>
      <w:r w:rsidR="00C4774F" w:rsidRPr="00254E28">
        <w:rPr>
          <w:rFonts w:ascii="Arial" w:eastAsia="Arial Unicode MS" w:hAnsi="Arial" w:cs="Arial"/>
          <w:sz w:val="24"/>
          <w:szCs w:val="24"/>
          <w:bdr w:val="nil"/>
          <w:lang w:val="es-ES"/>
        </w:rPr>
        <w:t>e recibido en Sala de Regidores</w:t>
      </w:r>
      <w:r w:rsidR="00B53FDB" w:rsidRPr="00254E28">
        <w:rPr>
          <w:rFonts w:ascii="Arial" w:eastAsia="Arial Unicode MS" w:hAnsi="Arial" w:cs="Arial"/>
          <w:sz w:val="24"/>
          <w:szCs w:val="24"/>
          <w:bdr w:val="nil"/>
          <w:lang w:val="es-ES"/>
        </w:rPr>
        <w:t xml:space="preserve"> el oficio número 357</w:t>
      </w:r>
      <w:r w:rsidR="00491D18" w:rsidRPr="00254E28">
        <w:rPr>
          <w:rFonts w:ascii="Arial" w:eastAsia="Arial Unicode MS" w:hAnsi="Arial" w:cs="Arial"/>
          <w:sz w:val="24"/>
          <w:szCs w:val="24"/>
          <w:bdr w:val="nil"/>
          <w:lang w:val="es-ES"/>
        </w:rPr>
        <w:t>/2019</w:t>
      </w:r>
      <w:r w:rsidR="00B53FDB" w:rsidRPr="00254E28">
        <w:rPr>
          <w:rFonts w:ascii="Arial" w:eastAsia="Arial Unicode MS" w:hAnsi="Arial" w:cs="Arial"/>
          <w:sz w:val="24"/>
          <w:szCs w:val="24"/>
          <w:bdr w:val="nil"/>
          <w:lang w:val="es-ES"/>
        </w:rPr>
        <w:t xml:space="preserve"> suscrito por la Síndico Municipal Cindy Estefany García Orozco</w:t>
      </w:r>
      <w:r w:rsidR="00C4774F" w:rsidRPr="00254E28">
        <w:rPr>
          <w:rFonts w:ascii="Arial" w:eastAsia="Arial Unicode MS" w:hAnsi="Arial" w:cs="Arial"/>
          <w:sz w:val="24"/>
          <w:szCs w:val="24"/>
          <w:bdr w:val="nil"/>
          <w:lang w:val="es-ES"/>
        </w:rPr>
        <w:t xml:space="preserve"> y dirigido a la Presidenta de esta Comisión Edilicia de Hacienda Pública y de Patrimonio Municipal, mediante el cual solicita, se analice en sesión de Comisión la viabilidad de otorgar en comodato al Organismo Público Descentralizado SAPAZA, 8 ocho predios de propiedad Municipal que actualmente están en posesión de dicho organismo operador para la explotación de pozos de agua profundos. A continuación se describen las características de los inmuebles de mérito</w:t>
      </w:r>
      <w:r w:rsidR="00EC419F" w:rsidRPr="00254E28">
        <w:rPr>
          <w:rFonts w:ascii="Arial" w:eastAsia="Arial Unicode MS" w:hAnsi="Arial" w:cs="Arial"/>
          <w:sz w:val="24"/>
          <w:szCs w:val="24"/>
          <w:bdr w:val="nil"/>
          <w:lang w:val="es-ES"/>
        </w:rPr>
        <w:t xml:space="preserve"> y se anexa a este dictamen los documentos que acreditan su propiedad</w:t>
      </w:r>
      <w:r w:rsidR="00C4774F" w:rsidRPr="00254E28">
        <w:rPr>
          <w:rFonts w:ascii="Arial" w:eastAsia="Arial Unicode MS" w:hAnsi="Arial" w:cs="Arial"/>
          <w:sz w:val="24"/>
          <w:szCs w:val="24"/>
          <w:bdr w:val="nil"/>
          <w:lang w:val="es-ES"/>
        </w:rPr>
        <w:t>:</w:t>
      </w:r>
    </w:p>
    <w:p w:rsidR="00C4774F" w:rsidRPr="00254E28" w:rsidRDefault="00C4774F" w:rsidP="002A0746">
      <w:pPr>
        <w:spacing w:after="0" w:line="240" w:lineRule="auto"/>
        <w:jc w:val="both"/>
        <w:rPr>
          <w:rFonts w:ascii="Arial" w:eastAsia="Arial Unicode MS" w:hAnsi="Arial" w:cs="Arial"/>
          <w:sz w:val="24"/>
          <w:szCs w:val="24"/>
          <w:bdr w:val="nil"/>
          <w:lang w:val="es-ES"/>
        </w:rPr>
      </w:pPr>
    </w:p>
    <w:tbl>
      <w:tblPr>
        <w:tblStyle w:val="Tablaconcuadrcula"/>
        <w:tblW w:w="0" w:type="auto"/>
        <w:tblLook w:val="04A0" w:firstRow="1" w:lastRow="0" w:firstColumn="1" w:lastColumn="0" w:noHBand="0" w:noVBand="1"/>
      </w:tblPr>
      <w:tblGrid>
        <w:gridCol w:w="840"/>
        <w:gridCol w:w="5080"/>
        <w:gridCol w:w="3625"/>
      </w:tblGrid>
      <w:tr w:rsidR="00C4774F" w:rsidRPr="00254E28" w:rsidTr="003E3B1E">
        <w:tc>
          <w:tcPr>
            <w:tcW w:w="840" w:type="dxa"/>
          </w:tcPr>
          <w:p w:rsidR="000367CE" w:rsidRPr="00254E28" w:rsidRDefault="000367CE" w:rsidP="00C4774F">
            <w:pPr>
              <w:jc w:val="center"/>
              <w:rPr>
                <w:rFonts w:ascii="Arial" w:eastAsia="Arial Unicode MS" w:hAnsi="Arial" w:cs="Arial"/>
                <w:szCs w:val="24"/>
                <w:bdr w:val="nil"/>
                <w:lang w:val="es-ES"/>
              </w:rPr>
            </w:pPr>
          </w:p>
          <w:p w:rsidR="00C4774F" w:rsidRPr="00254E28" w:rsidRDefault="00C4774F" w:rsidP="00C4774F">
            <w:pPr>
              <w:jc w:val="center"/>
              <w:rPr>
                <w:rFonts w:ascii="Arial" w:eastAsia="Arial Unicode MS" w:hAnsi="Arial" w:cs="Arial"/>
                <w:szCs w:val="24"/>
                <w:bdr w:val="nil"/>
                <w:lang w:val="es-ES"/>
              </w:rPr>
            </w:pPr>
            <w:r w:rsidRPr="00254E28">
              <w:rPr>
                <w:rFonts w:ascii="Arial" w:eastAsia="Arial Unicode MS" w:hAnsi="Arial" w:cs="Arial"/>
                <w:szCs w:val="24"/>
                <w:bdr w:val="nil"/>
                <w:lang w:val="es-ES"/>
              </w:rPr>
              <w:t>POZO</w:t>
            </w:r>
          </w:p>
        </w:tc>
        <w:tc>
          <w:tcPr>
            <w:tcW w:w="5080" w:type="dxa"/>
          </w:tcPr>
          <w:p w:rsidR="000367CE" w:rsidRPr="00254E28" w:rsidRDefault="000367CE" w:rsidP="00C4774F">
            <w:pPr>
              <w:jc w:val="center"/>
              <w:rPr>
                <w:rFonts w:ascii="Arial" w:eastAsia="Arial Unicode MS" w:hAnsi="Arial" w:cs="Arial"/>
                <w:szCs w:val="24"/>
                <w:bdr w:val="nil"/>
                <w:lang w:val="es-ES"/>
              </w:rPr>
            </w:pPr>
          </w:p>
          <w:p w:rsidR="00C4774F" w:rsidRPr="00254E28" w:rsidRDefault="00C4774F" w:rsidP="00C4774F">
            <w:pPr>
              <w:jc w:val="center"/>
              <w:rPr>
                <w:rFonts w:ascii="Arial" w:eastAsia="Arial Unicode MS" w:hAnsi="Arial" w:cs="Arial"/>
                <w:szCs w:val="24"/>
                <w:bdr w:val="nil"/>
                <w:lang w:val="es-ES"/>
              </w:rPr>
            </w:pPr>
            <w:r w:rsidRPr="00254E28">
              <w:rPr>
                <w:rFonts w:ascii="Arial" w:eastAsia="Arial Unicode MS" w:hAnsi="Arial" w:cs="Arial"/>
                <w:szCs w:val="24"/>
                <w:bdr w:val="nil"/>
                <w:lang w:val="es-ES"/>
              </w:rPr>
              <w:t>UBICACIÓN Y DESCRIPCIÓN</w:t>
            </w:r>
          </w:p>
        </w:tc>
        <w:tc>
          <w:tcPr>
            <w:tcW w:w="3625" w:type="dxa"/>
          </w:tcPr>
          <w:p w:rsidR="000367CE" w:rsidRPr="00254E28" w:rsidRDefault="00C4774F" w:rsidP="003E3B1E">
            <w:pPr>
              <w:jc w:val="center"/>
              <w:rPr>
                <w:rFonts w:ascii="Arial" w:eastAsia="Arial Unicode MS" w:hAnsi="Arial" w:cs="Arial"/>
                <w:szCs w:val="24"/>
                <w:bdr w:val="nil"/>
                <w:lang w:val="es-ES"/>
              </w:rPr>
            </w:pPr>
            <w:r w:rsidRPr="00254E28">
              <w:rPr>
                <w:rFonts w:ascii="Arial" w:eastAsia="Arial Unicode MS" w:hAnsi="Arial" w:cs="Arial"/>
                <w:szCs w:val="24"/>
                <w:bdr w:val="nil"/>
                <w:lang w:val="es-ES"/>
              </w:rPr>
              <w:t>NO. DE ESCRITURA</w:t>
            </w:r>
          </w:p>
          <w:p w:rsidR="00C4774F" w:rsidRPr="00254E28" w:rsidRDefault="00C4774F" w:rsidP="003E3B1E">
            <w:pPr>
              <w:jc w:val="center"/>
              <w:rPr>
                <w:rFonts w:ascii="Arial" w:eastAsia="Arial Unicode MS" w:hAnsi="Arial" w:cs="Arial"/>
                <w:szCs w:val="24"/>
                <w:bdr w:val="nil"/>
                <w:lang w:val="es-ES"/>
              </w:rPr>
            </w:pPr>
            <w:r w:rsidRPr="00254E28">
              <w:rPr>
                <w:rFonts w:ascii="Arial" w:eastAsia="Arial Unicode MS" w:hAnsi="Arial" w:cs="Arial"/>
                <w:szCs w:val="24"/>
                <w:bdr w:val="nil"/>
                <w:lang w:val="es-ES"/>
              </w:rPr>
              <w:t>PÚBLICA</w:t>
            </w:r>
          </w:p>
        </w:tc>
      </w:tr>
      <w:tr w:rsidR="00C4774F" w:rsidRPr="00254E28" w:rsidTr="003E3B1E">
        <w:tc>
          <w:tcPr>
            <w:tcW w:w="840" w:type="dxa"/>
          </w:tcPr>
          <w:p w:rsidR="00C4774F" w:rsidRPr="00254E28" w:rsidRDefault="00C4774F" w:rsidP="00C4774F">
            <w:pPr>
              <w:jc w:val="center"/>
              <w:rPr>
                <w:rFonts w:ascii="Arial" w:eastAsia="Arial Unicode MS" w:hAnsi="Arial" w:cs="Arial"/>
                <w:sz w:val="24"/>
                <w:szCs w:val="24"/>
                <w:bdr w:val="nil"/>
                <w:lang w:val="es-ES"/>
              </w:rPr>
            </w:pPr>
            <w:r w:rsidRPr="00254E28">
              <w:rPr>
                <w:rFonts w:ascii="Arial" w:eastAsia="Arial Unicode MS" w:hAnsi="Arial" w:cs="Arial"/>
                <w:sz w:val="24"/>
                <w:szCs w:val="24"/>
                <w:bdr w:val="nil"/>
                <w:lang w:val="es-ES"/>
              </w:rPr>
              <w:t>01</w:t>
            </w:r>
          </w:p>
        </w:tc>
        <w:tc>
          <w:tcPr>
            <w:tcW w:w="5080" w:type="dxa"/>
          </w:tcPr>
          <w:p w:rsidR="00C4774F" w:rsidRPr="00254E28" w:rsidRDefault="003E3B1E" w:rsidP="002A0746">
            <w:pPr>
              <w:jc w:val="both"/>
              <w:rPr>
                <w:rFonts w:ascii="Arial" w:eastAsia="Arial Unicode MS" w:hAnsi="Arial" w:cs="Arial"/>
                <w:sz w:val="24"/>
                <w:szCs w:val="24"/>
                <w:bdr w:val="nil"/>
                <w:lang w:val="es-ES"/>
              </w:rPr>
            </w:pPr>
            <w:r w:rsidRPr="00254E28">
              <w:rPr>
                <w:rFonts w:ascii="Arial" w:eastAsia="Arial Unicode MS" w:hAnsi="Arial" w:cs="Arial"/>
                <w:sz w:val="24"/>
                <w:szCs w:val="24"/>
                <w:bdr w:val="nil"/>
                <w:lang w:val="es-ES"/>
              </w:rPr>
              <w:t>Belisario Domínguez #81</w:t>
            </w:r>
          </w:p>
        </w:tc>
        <w:tc>
          <w:tcPr>
            <w:tcW w:w="3625" w:type="dxa"/>
          </w:tcPr>
          <w:p w:rsidR="00C4774F" w:rsidRPr="00254E28" w:rsidRDefault="003E3B1E" w:rsidP="003E3B1E">
            <w:pPr>
              <w:jc w:val="center"/>
              <w:rPr>
                <w:rFonts w:ascii="Arial" w:eastAsia="Arial Unicode MS" w:hAnsi="Arial" w:cs="Arial"/>
                <w:sz w:val="24"/>
                <w:szCs w:val="24"/>
                <w:bdr w:val="nil"/>
                <w:lang w:val="es-ES"/>
              </w:rPr>
            </w:pPr>
            <w:r w:rsidRPr="00254E28">
              <w:rPr>
                <w:rFonts w:ascii="Arial" w:eastAsia="Arial Unicode MS" w:hAnsi="Arial" w:cs="Arial"/>
                <w:sz w:val="24"/>
                <w:szCs w:val="24"/>
                <w:bdr w:val="nil"/>
                <w:lang w:val="es-ES"/>
              </w:rPr>
              <w:t>4,967</w:t>
            </w:r>
          </w:p>
        </w:tc>
      </w:tr>
      <w:tr w:rsidR="00C4774F" w:rsidRPr="00254E28" w:rsidTr="003E3B1E">
        <w:tc>
          <w:tcPr>
            <w:tcW w:w="840" w:type="dxa"/>
          </w:tcPr>
          <w:p w:rsidR="00C4774F" w:rsidRPr="00254E28" w:rsidRDefault="00C4774F" w:rsidP="00C4774F">
            <w:pPr>
              <w:jc w:val="center"/>
              <w:rPr>
                <w:rFonts w:ascii="Arial" w:eastAsia="Arial Unicode MS" w:hAnsi="Arial" w:cs="Arial"/>
                <w:sz w:val="24"/>
                <w:szCs w:val="24"/>
                <w:bdr w:val="nil"/>
                <w:lang w:val="es-ES"/>
              </w:rPr>
            </w:pPr>
            <w:r w:rsidRPr="00254E28">
              <w:rPr>
                <w:rFonts w:ascii="Arial" w:eastAsia="Arial Unicode MS" w:hAnsi="Arial" w:cs="Arial"/>
                <w:sz w:val="24"/>
                <w:szCs w:val="24"/>
                <w:bdr w:val="nil"/>
                <w:lang w:val="es-ES"/>
              </w:rPr>
              <w:t>02</w:t>
            </w:r>
          </w:p>
        </w:tc>
        <w:tc>
          <w:tcPr>
            <w:tcW w:w="5080" w:type="dxa"/>
          </w:tcPr>
          <w:p w:rsidR="00C4774F" w:rsidRPr="00254E28" w:rsidRDefault="008D111A" w:rsidP="002A0746">
            <w:pPr>
              <w:jc w:val="both"/>
              <w:rPr>
                <w:rFonts w:ascii="Arial" w:eastAsia="Arial Unicode MS" w:hAnsi="Arial" w:cs="Arial"/>
                <w:sz w:val="24"/>
                <w:szCs w:val="24"/>
                <w:bdr w:val="nil"/>
                <w:lang w:val="es-ES"/>
              </w:rPr>
            </w:pPr>
            <w:r w:rsidRPr="00254E28">
              <w:rPr>
                <w:rFonts w:ascii="Arial" w:eastAsia="Arial Unicode MS" w:hAnsi="Arial" w:cs="Arial"/>
                <w:sz w:val="24"/>
                <w:szCs w:val="24"/>
                <w:bdr w:val="nil"/>
                <w:lang w:val="es-ES"/>
              </w:rPr>
              <w:t>Moctezuma esquina con Cazadores</w:t>
            </w:r>
          </w:p>
        </w:tc>
        <w:tc>
          <w:tcPr>
            <w:tcW w:w="3625" w:type="dxa"/>
          </w:tcPr>
          <w:p w:rsidR="00C4774F" w:rsidRPr="00254E28" w:rsidRDefault="008D111A" w:rsidP="003E3B1E">
            <w:pPr>
              <w:jc w:val="center"/>
              <w:rPr>
                <w:rFonts w:ascii="Arial" w:eastAsia="Arial Unicode MS" w:hAnsi="Arial" w:cs="Arial"/>
                <w:sz w:val="24"/>
                <w:szCs w:val="24"/>
                <w:bdr w:val="nil"/>
                <w:lang w:val="es-ES"/>
              </w:rPr>
            </w:pPr>
            <w:r w:rsidRPr="00254E28">
              <w:rPr>
                <w:rFonts w:ascii="Arial" w:eastAsia="Arial Unicode MS" w:hAnsi="Arial" w:cs="Arial"/>
                <w:sz w:val="24"/>
                <w:szCs w:val="24"/>
                <w:bdr w:val="nil"/>
                <w:lang w:val="es-ES"/>
              </w:rPr>
              <w:t>3,461</w:t>
            </w:r>
          </w:p>
        </w:tc>
      </w:tr>
      <w:tr w:rsidR="00C4774F" w:rsidRPr="00254E28" w:rsidTr="003E3B1E">
        <w:tc>
          <w:tcPr>
            <w:tcW w:w="840" w:type="dxa"/>
          </w:tcPr>
          <w:p w:rsidR="00C4774F" w:rsidRPr="00254E28" w:rsidRDefault="00C4774F" w:rsidP="00C4774F">
            <w:pPr>
              <w:jc w:val="center"/>
              <w:rPr>
                <w:rFonts w:ascii="Arial" w:eastAsia="Arial Unicode MS" w:hAnsi="Arial" w:cs="Arial"/>
                <w:sz w:val="24"/>
                <w:szCs w:val="24"/>
                <w:bdr w:val="nil"/>
                <w:lang w:val="es-ES"/>
              </w:rPr>
            </w:pPr>
            <w:r w:rsidRPr="00254E28">
              <w:rPr>
                <w:rFonts w:ascii="Arial" w:eastAsia="Arial Unicode MS" w:hAnsi="Arial" w:cs="Arial"/>
                <w:sz w:val="24"/>
                <w:szCs w:val="24"/>
                <w:bdr w:val="nil"/>
                <w:lang w:val="es-ES"/>
              </w:rPr>
              <w:t>03</w:t>
            </w:r>
          </w:p>
        </w:tc>
        <w:tc>
          <w:tcPr>
            <w:tcW w:w="5080" w:type="dxa"/>
          </w:tcPr>
          <w:p w:rsidR="00C4774F" w:rsidRPr="00254E28" w:rsidRDefault="00493D80" w:rsidP="002A0746">
            <w:pPr>
              <w:jc w:val="both"/>
              <w:rPr>
                <w:rFonts w:ascii="Arial" w:eastAsia="Arial Unicode MS" w:hAnsi="Arial" w:cs="Arial"/>
                <w:sz w:val="24"/>
                <w:szCs w:val="24"/>
                <w:bdr w:val="nil"/>
                <w:lang w:val="es-ES"/>
              </w:rPr>
            </w:pPr>
            <w:r w:rsidRPr="00254E28">
              <w:rPr>
                <w:rFonts w:ascii="Arial" w:eastAsia="Arial Unicode MS" w:hAnsi="Arial" w:cs="Arial"/>
                <w:sz w:val="24"/>
                <w:szCs w:val="24"/>
                <w:bdr w:val="nil"/>
                <w:lang w:val="es-ES"/>
              </w:rPr>
              <w:t>Prolongación Jalisco esquina con Jilguero-Bugambilias</w:t>
            </w:r>
          </w:p>
        </w:tc>
        <w:tc>
          <w:tcPr>
            <w:tcW w:w="3625" w:type="dxa"/>
          </w:tcPr>
          <w:p w:rsidR="00C4774F" w:rsidRPr="00254E28" w:rsidRDefault="00493D80" w:rsidP="003E3B1E">
            <w:pPr>
              <w:jc w:val="center"/>
              <w:rPr>
                <w:rFonts w:ascii="Arial" w:eastAsia="Arial Unicode MS" w:hAnsi="Arial" w:cs="Arial"/>
                <w:sz w:val="24"/>
                <w:szCs w:val="24"/>
                <w:bdr w:val="nil"/>
                <w:lang w:val="es-ES"/>
              </w:rPr>
            </w:pPr>
            <w:r w:rsidRPr="00254E28">
              <w:rPr>
                <w:rFonts w:ascii="Arial" w:eastAsia="Arial Unicode MS" w:hAnsi="Arial" w:cs="Arial"/>
                <w:sz w:val="24"/>
                <w:szCs w:val="24"/>
                <w:bdr w:val="nil"/>
                <w:lang w:val="es-ES"/>
              </w:rPr>
              <w:t>CORETT-JALISCO-II-10/2000</w:t>
            </w:r>
          </w:p>
        </w:tc>
      </w:tr>
      <w:tr w:rsidR="00C4774F" w:rsidRPr="00254E28" w:rsidTr="003E3B1E">
        <w:tc>
          <w:tcPr>
            <w:tcW w:w="840" w:type="dxa"/>
          </w:tcPr>
          <w:p w:rsidR="00C4774F" w:rsidRPr="00254E28" w:rsidRDefault="00C4774F" w:rsidP="00C4774F">
            <w:pPr>
              <w:jc w:val="center"/>
              <w:rPr>
                <w:rFonts w:ascii="Arial" w:eastAsia="Arial Unicode MS" w:hAnsi="Arial" w:cs="Arial"/>
                <w:sz w:val="24"/>
                <w:szCs w:val="24"/>
                <w:bdr w:val="nil"/>
                <w:lang w:val="es-ES"/>
              </w:rPr>
            </w:pPr>
            <w:r w:rsidRPr="00254E28">
              <w:rPr>
                <w:rFonts w:ascii="Arial" w:eastAsia="Arial Unicode MS" w:hAnsi="Arial" w:cs="Arial"/>
                <w:sz w:val="24"/>
                <w:szCs w:val="24"/>
                <w:bdr w:val="nil"/>
                <w:lang w:val="es-ES"/>
              </w:rPr>
              <w:t>04</w:t>
            </w:r>
          </w:p>
        </w:tc>
        <w:tc>
          <w:tcPr>
            <w:tcW w:w="5080" w:type="dxa"/>
          </w:tcPr>
          <w:p w:rsidR="00C4774F" w:rsidRPr="00254E28" w:rsidRDefault="00493D80" w:rsidP="002A0746">
            <w:pPr>
              <w:jc w:val="both"/>
              <w:rPr>
                <w:rFonts w:ascii="Arial" w:eastAsia="Arial Unicode MS" w:hAnsi="Arial" w:cs="Arial"/>
                <w:sz w:val="24"/>
                <w:szCs w:val="24"/>
                <w:bdr w:val="nil"/>
                <w:lang w:val="es-ES"/>
              </w:rPr>
            </w:pPr>
            <w:r w:rsidRPr="00254E28">
              <w:rPr>
                <w:rFonts w:ascii="Arial" w:eastAsia="Arial Unicode MS" w:hAnsi="Arial" w:cs="Arial"/>
                <w:sz w:val="24"/>
                <w:szCs w:val="24"/>
                <w:bdr w:val="nil"/>
                <w:lang w:val="es-ES"/>
              </w:rPr>
              <w:t>Severo Díaz esquina con Tomás Escobedo ISSSTE</w:t>
            </w:r>
          </w:p>
        </w:tc>
        <w:tc>
          <w:tcPr>
            <w:tcW w:w="3625" w:type="dxa"/>
          </w:tcPr>
          <w:p w:rsidR="00C4774F" w:rsidRPr="00254E28" w:rsidRDefault="00493D80" w:rsidP="003E3B1E">
            <w:pPr>
              <w:jc w:val="center"/>
              <w:rPr>
                <w:rFonts w:ascii="Arial" w:eastAsia="Arial Unicode MS" w:hAnsi="Arial" w:cs="Arial"/>
                <w:sz w:val="24"/>
                <w:szCs w:val="24"/>
                <w:bdr w:val="nil"/>
                <w:lang w:val="es-ES"/>
              </w:rPr>
            </w:pPr>
            <w:r w:rsidRPr="00254E28">
              <w:rPr>
                <w:rFonts w:ascii="Arial" w:eastAsia="Arial Unicode MS" w:hAnsi="Arial" w:cs="Arial"/>
                <w:sz w:val="24"/>
                <w:szCs w:val="24"/>
                <w:bdr w:val="nil"/>
                <w:lang w:val="es-ES"/>
              </w:rPr>
              <w:t>4,863</w:t>
            </w:r>
          </w:p>
        </w:tc>
      </w:tr>
      <w:tr w:rsidR="00C4774F" w:rsidRPr="00254E28" w:rsidTr="003E3B1E">
        <w:tc>
          <w:tcPr>
            <w:tcW w:w="840" w:type="dxa"/>
          </w:tcPr>
          <w:p w:rsidR="00C4774F" w:rsidRPr="00254E28" w:rsidRDefault="00C4774F" w:rsidP="00C4774F">
            <w:pPr>
              <w:jc w:val="center"/>
              <w:rPr>
                <w:rFonts w:ascii="Arial" w:eastAsia="Arial Unicode MS" w:hAnsi="Arial" w:cs="Arial"/>
                <w:sz w:val="24"/>
                <w:szCs w:val="24"/>
                <w:bdr w:val="nil"/>
                <w:lang w:val="es-ES"/>
              </w:rPr>
            </w:pPr>
            <w:r w:rsidRPr="00254E28">
              <w:rPr>
                <w:rFonts w:ascii="Arial" w:eastAsia="Arial Unicode MS" w:hAnsi="Arial" w:cs="Arial"/>
                <w:sz w:val="24"/>
                <w:szCs w:val="24"/>
                <w:bdr w:val="nil"/>
                <w:lang w:val="es-ES"/>
              </w:rPr>
              <w:t>05</w:t>
            </w:r>
          </w:p>
        </w:tc>
        <w:tc>
          <w:tcPr>
            <w:tcW w:w="5080" w:type="dxa"/>
          </w:tcPr>
          <w:p w:rsidR="00C4774F" w:rsidRPr="00254E28" w:rsidRDefault="00493D80" w:rsidP="002A0746">
            <w:pPr>
              <w:jc w:val="both"/>
              <w:rPr>
                <w:rFonts w:ascii="Arial" w:eastAsia="Arial Unicode MS" w:hAnsi="Arial" w:cs="Arial"/>
                <w:sz w:val="24"/>
                <w:szCs w:val="24"/>
                <w:bdr w:val="nil"/>
                <w:lang w:val="es-ES"/>
              </w:rPr>
            </w:pPr>
            <w:r w:rsidRPr="00254E28">
              <w:rPr>
                <w:rFonts w:ascii="Arial" w:eastAsia="Arial Unicode MS" w:hAnsi="Arial" w:cs="Arial"/>
                <w:sz w:val="24"/>
                <w:szCs w:val="24"/>
                <w:bdr w:val="nil"/>
                <w:lang w:val="es-ES"/>
              </w:rPr>
              <w:t>Prolongación Galeana esquina Pedro Ramírez</w:t>
            </w:r>
          </w:p>
        </w:tc>
        <w:tc>
          <w:tcPr>
            <w:tcW w:w="3625" w:type="dxa"/>
          </w:tcPr>
          <w:p w:rsidR="00C4774F" w:rsidRPr="00254E28" w:rsidRDefault="00493D80" w:rsidP="003E3B1E">
            <w:pPr>
              <w:jc w:val="center"/>
              <w:rPr>
                <w:rFonts w:ascii="Arial" w:eastAsia="Arial Unicode MS" w:hAnsi="Arial" w:cs="Arial"/>
                <w:sz w:val="24"/>
                <w:szCs w:val="24"/>
                <w:bdr w:val="nil"/>
                <w:lang w:val="es-ES"/>
              </w:rPr>
            </w:pPr>
            <w:r w:rsidRPr="00254E28">
              <w:rPr>
                <w:rFonts w:ascii="Arial" w:eastAsia="Arial Unicode MS" w:hAnsi="Arial" w:cs="Arial"/>
                <w:sz w:val="24"/>
                <w:szCs w:val="24"/>
                <w:bdr w:val="nil"/>
                <w:lang w:val="es-ES"/>
              </w:rPr>
              <w:t>14,228</w:t>
            </w:r>
          </w:p>
        </w:tc>
      </w:tr>
      <w:tr w:rsidR="00C4774F" w:rsidRPr="00254E28" w:rsidTr="003E3B1E">
        <w:tc>
          <w:tcPr>
            <w:tcW w:w="840" w:type="dxa"/>
          </w:tcPr>
          <w:p w:rsidR="00C4774F" w:rsidRPr="00254E28" w:rsidRDefault="00C4774F" w:rsidP="00C4774F">
            <w:pPr>
              <w:jc w:val="center"/>
              <w:rPr>
                <w:rFonts w:ascii="Arial" w:eastAsia="Arial Unicode MS" w:hAnsi="Arial" w:cs="Arial"/>
                <w:sz w:val="24"/>
                <w:szCs w:val="24"/>
                <w:bdr w:val="nil"/>
                <w:lang w:val="es-ES"/>
              </w:rPr>
            </w:pPr>
            <w:r w:rsidRPr="00254E28">
              <w:rPr>
                <w:rFonts w:ascii="Arial" w:eastAsia="Arial Unicode MS" w:hAnsi="Arial" w:cs="Arial"/>
                <w:sz w:val="24"/>
                <w:szCs w:val="24"/>
                <w:bdr w:val="nil"/>
                <w:lang w:val="es-ES"/>
              </w:rPr>
              <w:t>06</w:t>
            </w:r>
          </w:p>
        </w:tc>
        <w:tc>
          <w:tcPr>
            <w:tcW w:w="5080" w:type="dxa"/>
          </w:tcPr>
          <w:p w:rsidR="00C4774F" w:rsidRPr="00254E28" w:rsidRDefault="00493D80" w:rsidP="002A0746">
            <w:pPr>
              <w:jc w:val="both"/>
              <w:rPr>
                <w:rFonts w:ascii="Arial" w:eastAsia="Arial Unicode MS" w:hAnsi="Arial" w:cs="Arial"/>
                <w:sz w:val="24"/>
                <w:szCs w:val="24"/>
                <w:bdr w:val="nil"/>
                <w:lang w:val="es-ES"/>
              </w:rPr>
            </w:pPr>
            <w:r w:rsidRPr="00254E28">
              <w:rPr>
                <w:rFonts w:ascii="Arial" w:eastAsia="Arial Unicode MS" w:hAnsi="Arial" w:cs="Arial"/>
                <w:sz w:val="24"/>
                <w:szCs w:val="24"/>
                <w:bdr w:val="nil"/>
                <w:lang w:val="es-ES"/>
              </w:rPr>
              <w:t>Camino a la Catarina (Pozo Catarina III)</w:t>
            </w:r>
          </w:p>
        </w:tc>
        <w:tc>
          <w:tcPr>
            <w:tcW w:w="3625" w:type="dxa"/>
          </w:tcPr>
          <w:p w:rsidR="00C4774F" w:rsidRPr="00254E28" w:rsidRDefault="00493D80" w:rsidP="003E3B1E">
            <w:pPr>
              <w:jc w:val="center"/>
              <w:rPr>
                <w:rFonts w:ascii="Arial" w:eastAsia="Arial Unicode MS" w:hAnsi="Arial" w:cs="Arial"/>
                <w:sz w:val="24"/>
                <w:szCs w:val="24"/>
                <w:bdr w:val="nil"/>
                <w:lang w:val="es-ES"/>
              </w:rPr>
            </w:pPr>
            <w:r w:rsidRPr="00254E28">
              <w:rPr>
                <w:rFonts w:ascii="Arial" w:eastAsia="Arial Unicode MS" w:hAnsi="Arial" w:cs="Arial"/>
                <w:sz w:val="24"/>
                <w:szCs w:val="24"/>
                <w:bdr w:val="nil"/>
                <w:lang w:val="es-ES"/>
              </w:rPr>
              <w:t>Contrato Privado de compraventa</w:t>
            </w:r>
          </w:p>
        </w:tc>
      </w:tr>
      <w:tr w:rsidR="00C4774F" w:rsidRPr="00254E28" w:rsidTr="003E3B1E">
        <w:tc>
          <w:tcPr>
            <w:tcW w:w="840" w:type="dxa"/>
          </w:tcPr>
          <w:p w:rsidR="00C4774F" w:rsidRPr="00254E28" w:rsidRDefault="00C4774F" w:rsidP="00C4774F">
            <w:pPr>
              <w:jc w:val="center"/>
              <w:rPr>
                <w:rFonts w:ascii="Arial" w:eastAsia="Arial Unicode MS" w:hAnsi="Arial" w:cs="Arial"/>
                <w:sz w:val="24"/>
                <w:szCs w:val="24"/>
                <w:bdr w:val="nil"/>
                <w:lang w:val="es-ES"/>
              </w:rPr>
            </w:pPr>
            <w:r w:rsidRPr="00254E28">
              <w:rPr>
                <w:rFonts w:ascii="Arial" w:eastAsia="Arial Unicode MS" w:hAnsi="Arial" w:cs="Arial"/>
                <w:sz w:val="24"/>
                <w:szCs w:val="24"/>
                <w:bdr w:val="nil"/>
                <w:lang w:val="es-ES"/>
              </w:rPr>
              <w:t>07</w:t>
            </w:r>
          </w:p>
        </w:tc>
        <w:tc>
          <w:tcPr>
            <w:tcW w:w="5080" w:type="dxa"/>
          </w:tcPr>
          <w:p w:rsidR="00C4774F" w:rsidRPr="00254E28" w:rsidRDefault="00493D80" w:rsidP="002A0746">
            <w:pPr>
              <w:jc w:val="both"/>
              <w:rPr>
                <w:rFonts w:ascii="Arial" w:eastAsia="Arial Unicode MS" w:hAnsi="Arial" w:cs="Arial"/>
                <w:sz w:val="24"/>
                <w:szCs w:val="24"/>
                <w:bdr w:val="nil"/>
                <w:lang w:val="es-ES"/>
              </w:rPr>
            </w:pPr>
            <w:r w:rsidRPr="00254E28">
              <w:rPr>
                <w:rFonts w:ascii="Arial" w:eastAsia="Arial Unicode MS" w:hAnsi="Arial" w:cs="Arial"/>
                <w:sz w:val="24"/>
                <w:szCs w:val="24"/>
                <w:bdr w:val="nil"/>
                <w:lang w:val="es-ES"/>
              </w:rPr>
              <w:t>San Antonio esquina con San Luis, colonia Providencia</w:t>
            </w:r>
          </w:p>
        </w:tc>
        <w:tc>
          <w:tcPr>
            <w:tcW w:w="3625" w:type="dxa"/>
          </w:tcPr>
          <w:p w:rsidR="00C4774F" w:rsidRPr="00254E28" w:rsidRDefault="00493D80" w:rsidP="003E3B1E">
            <w:pPr>
              <w:jc w:val="center"/>
              <w:rPr>
                <w:rFonts w:ascii="Arial" w:eastAsia="Arial Unicode MS" w:hAnsi="Arial" w:cs="Arial"/>
                <w:sz w:val="24"/>
                <w:szCs w:val="24"/>
                <w:bdr w:val="nil"/>
                <w:lang w:val="es-ES"/>
              </w:rPr>
            </w:pPr>
            <w:r w:rsidRPr="00254E28">
              <w:rPr>
                <w:rFonts w:ascii="Arial" w:eastAsia="Arial Unicode MS" w:hAnsi="Arial" w:cs="Arial"/>
                <w:sz w:val="24"/>
                <w:szCs w:val="24"/>
                <w:bdr w:val="nil"/>
                <w:lang w:val="es-ES"/>
              </w:rPr>
              <w:t>16,281</w:t>
            </w:r>
          </w:p>
        </w:tc>
      </w:tr>
      <w:tr w:rsidR="00C4774F" w:rsidRPr="00254E28" w:rsidTr="003E3B1E">
        <w:tc>
          <w:tcPr>
            <w:tcW w:w="840" w:type="dxa"/>
          </w:tcPr>
          <w:p w:rsidR="00C4774F" w:rsidRPr="00254E28" w:rsidRDefault="00C4774F" w:rsidP="00C4774F">
            <w:pPr>
              <w:jc w:val="center"/>
              <w:rPr>
                <w:rFonts w:ascii="Arial" w:eastAsia="Arial Unicode MS" w:hAnsi="Arial" w:cs="Arial"/>
                <w:sz w:val="24"/>
                <w:szCs w:val="24"/>
                <w:bdr w:val="nil"/>
                <w:lang w:val="es-ES"/>
              </w:rPr>
            </w:pPr>
            <w:r w:rsidRPr="00254E28">
              <w:rPr>
                <w:rFonts w:ascii="Arial" w:eastAsia="Arial Unicode MS" w:hAnsi="Arial" w:cs="Arial"/>
                <w:sz w:val="24"/>
                <w:szCs w:val="24"/>
                <w:bdr w:val="nil"/>
                <w:lang w:val="es-ES"/>
              </w:rPr>
              <w:t>08</w:t>
            </w:r>
          </w:p>
        </w:tc>
        <w:tc>
          <w:tcPr>
            <w:tcW w:w="5080" w:type="dxa"/>
          </w:tcPr>
          <w:p w:rsidR="00C4774F" w:rsidRPr="00254E28" w:rsidRDefault="00493D80" w:rsidP="002A0746">
            <w:pPr>
              <w:jc w:val="both"/>
              <w:rPr>
                <w:rFonts w:ascii="Arial" w:eastAsia="Arial Unicode MS" w:hAnsi="Arial" w:cs="Arial"/>
                <w:sz w:val="24"/>
                <w:szCs w:val="24"/>
                <w:bdr w:val="nil"/>
                <w:lang w:val="es-ES"/>
              </w:rPr>
            </w:pPr>
            <w:r w:rsidRPr="00254E28">
              <w:rPr>
                <w:rFonts w:ascii="Arial" w:eastAsia="Arial Unicode MS" w:hAnsi="Arial" w:cs="Arial"/>
                <w:sz w:val="24"/>
                <w:szCs w:val="24"/>
                <w:bdr w:val="nil"/>
                <w:lang w:val="es-ES"/>
              </w:rPr>
              <w:t>Final del fraccionamiento la Primavera</w:t>
            </w:r>
          </w:p>
        </w:tc>
        <w:tc>
          <w:tcPr>
            <w:tcW w:w="3625" w:type="dxa"/>
          </w:tcPr>
          <w:p w:rsidR="00C4774F" w:rsidRPr="00254E28" w:rsidRDefault="00493D80" w:rsidP="003E3B1E">
            <w:pPr>
              <w:jc w:val="center"/>
              <w:rPr>
                <w:rFonts w:ascii="Arial" w:eastAsia="Arial Unicode MS" w:hAnsi="Arial" w:cs="Arial"/>
                <w:sz w:val="24"/>
                <w:szCs w:val="24"/>
                <w:bdr w:val="nil"/>
                <w:lang w:val="es-ES"/>
              </w:rPr>
            </w:pPr>
            <w:r w:rsidRPr="00254E28">
              <w:rPr>
                <w:rFonts w:ascii="Arial" w:eastAsia="Arial Unicode MS" w:hAnsi="Arial" w:cs="Arial"/>
                <w:sz w:val="24"/>
                <w:szCs w:val="24"/>
                <w:bdr w:val="nil"/>
                <w:lang w:val="es-ES"/>
              </w:rPr>
              <w:t>22,846</w:t>
            </w:r>
          </w:p>
        </w:tc>
      </w:tr>
    </w:tbl>
    <w:p w:rsidR="00C4774F" w:rsidRPr="00254E28" w:rsidRDefault="00C4774F" w:rsidP="002A0746">
      <w:pPr>
        <w:spacing w:after="0" w:line="240" w:lineRule="auto"/>
        <w:jc w:val="both"/>
        <w:rPr>
          <w:rFonts w:ascii="Arial" w:eastAsia="Arial Unicode MS" w:hAnsi="Arial" w:cs="Arial"/>
          <w:sz w:val="24"/>
          <w:szCs w:val="24"/>
          <w:bdr w:val="nil"/>
          <w:lang w:val="es-ES"/>
        </w:rPr>
      </w:pPr>
    </w:p>
    <w:p w:rsidR="00637AE3" w:rsidRPr="00254E28" w:rsidRDefault="00EC419F" w:rsidP="009D2380">
      <w:pPr>
        <w:jc w:val="both"/>
        <w:rPr>
          <w:rFonts w:ascii="Arial" w:eastAsia="Arial Unicode MS" w:hAnsi="Arial" w:cs="Arial"/>
          <w:sz w:val="24"/>
          <w:szCs w:val="24"/>
          <w:bdr w:val="nil"/>
        </w:rPr>
      </w:pPr>
      <w:r w:rsidRPr="00254E28">
        <w:rPr>
          <w:rFonts w:ascii="Arial" w:eastAsia="Arial Unicode MS" w:hAnsi="Arial" w:cs="Arial"/>
          <w:sz w:val="24"/>
          <w:szCs w:val="24"/>
          <w:bdr w:val="nil"/>
          <w:lang w:val="es-ES"/>
        </w:rPr>
        <w:t>Cabe reiterar</w:t>
      </w:r>
      <w:r w:rsidR="009D2380" w:rsidRPr="00254E28">
        <w:rPr>
          <w:rFonts w:ascii="Arial" w:eastAsia="Arial Unicode MS" w:hAnsi="Arial" w:cs="Arial"/>
          <w:sz w:val="24"/>
          <w:szCs w:val="24"/>
          <w:bdr w:val="nil"/>
          <w:lang w:val="es-ES"/>
        </w:rPr>
        <w:t xml:space="preserve"> que todos y cada uno de los bienes inmuebles antes descritos, están en pos</w:t>
      </w:r>
      <w:r w:rsidR="00071082" w:rsidRPr="00254E28">
        <w:rPr>
          <w:rFonts w:ascii="Arial" w:eastAsia="Arial Unicode MS" w:hAnsi="Arial" w:cs="Arial"/>
          <w:sz w:val="24"/>
          <w:szCs w:val="24"/>
          <w:bdr w:val="nil"/>
          <w:lang w:val="es-ES"/>
        </w:rPr>
        <w:t xml:space="preserve">esión del </w:t>
      </w:r>
      <w:r w:rsidRPr="00254E28">
        <w:rPr>
          <w:rFonts w:ascii="Arial" w:eastAsia="Arial Unicode MS" w:hAnsi="Arial" w:cs="Arial"/>
          <w:sz w:val="24"/>
          <w:szCs w:val="24"/>
          <w:bdr w:val="nil"/>
          <w:lang w:val="es-ES"/>
        </w:rPr>
        <w:t>Organismo SAPAZA</w:t>
      </w:r>
      <w:r w:rsidR="009D2380" w:rsidRPr="00254E28">
        <w:rPr>
          <w:rFonts w:ascii="Arial" w:eastAsia="Arial Unicode MS" w:hAnsi="Arial" w:cs="Arial"/>
          <w:sz w:val="24"/>
          <w:szCs w:val="24"/>
          <w:bdr w:val="nil"/>
          <w:lang w:val="es-ES"/>
        </w:rPr>
        <w:t>;</w:t>
      </w:r>
      <w:r w:rsidR="00491D18" w:rsidRPr="00254E28">
        <w:rPr>
          <w:rFonts w:ascii="Arial" w:eastAsia="Arial Unicode MS" w:hAnsi="Arial" w:cs="Arial"/>
          <w:sz w:val="24"/>
          <w:szCs w:val="24"/>
          <w:bdr w:val="nil"/>
          <w:lang w:val="es-ES"/>
        </w:rPr>
        <w:t xml:space="preserve"> encontrándose claramente delimitado el área que ocupa cada pozo profundo,</w:t>
      </w:r>
      <w:r w:rsidR="009D2380" w:rsidRPr="00254E28">
        <w:rPr>
          <w:rFonts w:ascii="Arial" w:eastAsia="Arial Unicode MS" w:hAnsi="Arial" w:cs="Arial"/>
          <w:sz w:val="24"/>
          <w:szCs w:val="24"/>
          <w:bdr w:val="nil"/>
          <w:lang w:val="es-ES"/>
        </w:rPr>
        <w:t xml:space="preserve"> sirviendo de manera </w:t>
      </w:r>
      <w:r w:rsidR="00491D18" w:rsidRPr="00254E28">
        <w:rPr>
          <w:rFonts w:ascii="Arial" w:eastAsia="Arial Unicode MS" w:hAnsi="Arial" w:cs="Arial"/>
          <w:sz w:val="24"/>
          <w:szCs w:val="24"/>
          <w:bdr w:val="nil"/>
          <w:lang w:val="es-ES"/>
        </w:rPr>
        <w:t>continua</w:t>
      </w:r>
      <w:r w:rsidR="009D2380" w:rsidRPr="00254E28">
        <w:rPr>
          <w:rFonts w:ascii="Arial" w:eastAsia="Arial Unicode MS" w:hAnsi="Arial" w:cs="Arial"/>
          <w:sz w:val="24"/>
          <w:szCs w:val="24"/>
          <w:bdr w:val="nil"/>
          <w:lang w:val="es-ES"/>
        </w:rPr>
        <w:t xml:space="preserve"> el objeto para el cual fueron inicialmente otorgados en comodato.</w:t>
      </w:r>
    </w:p>
    <w:p w:rsidR="00637AE3" w:rsidRPr="00254E28" w:rsidRDefault="00637AE3" w:rsidP="00637AE3">
      <w:pPr>
        <w:spacing w:after="0" w:line="240" w:lineRule="auto"/>
        <w:jc w:val="both"/>
        <w:rPr>
          <w:rFonts w:ascii="Arial" w:eastAsia="Arial Unicode MS" w:hAnsi="Arial" w:cs="Arial"/>
          <w:sz w:val="24"/>
          <w:szCs w:val="24"/>
          <w:bdr w:val="nil"/>
        </w:rPr>
      </w:pPr>
      <w:r w:rsidRPr="00254E28">
        <w:rPr>
          <w:rFonts w:ascii="Arial" w:eastAsia="Arial Unicode MS" w:hAnsi="Arial" w:cs="Arial"/>
          <w:sz w:val="24"/>
          <w:szCs w:val="24"/>
          <w:bdr w:val="nil"/>
        </w:rPr>
        <w:t>Por los motivos antes expuestos, la Comisión Edilicia Permanente de Hacienda Pública y Patrimonio Municipal dictamina bajo los siguientes;</w:t>
      </w:r>
    </w:p>
    <w:p w:rsidR="001C7CFE" w:rsidRPr="00254E28" w:rsidRDefault="001C7CFE" w:rsidP="00637AE3">
      <w:pPr>
        <w:spacing w:after="0" w:line="240" w:lineRule="auto"/>
        <w:jc w:val="both"/>
        <w:rPr>
          <w:rFonts w:ascii="Arial" w:eastAsia="Arial Unicode MS" w:hAnsi="Arial" w:cs="Arial"/>
          <w:sz w:val="24"/>
          <w:szCs w:val="24"/>
          <w:bdr w:val="nil"/>
        </w:rPr>
      </w:pPr>
    </w:p>
    <w:p w:rsidR="0022799E" w:rsidRPr="00254E28" w:rsidRDefault="0022799E" w:rsidP="00637AE3">
      <w:pPr>
        <w:spacing w:after="0" w:line="240" w:lineRule="auto"/>
        <w:jc w:val="both"/>
        <w:rPr>
          <w:rFonts w:ascii="Arial" w:eastAsia="Arial Unicode MS" w:hAnsi="Arial" w:cs="Arial"/>
          <w:sz w:val="24"/>
          <w:szCs w:val="24"/>
          <w:bdr w:val="nil"/>
        </w:rPr>
      </w:pPr>
    </w:p>
    <w:p w:rsidR="0022799E" w:rsidRPr="00254E28" w:rsidRDefault="0022799E" w:rsidP="0022799E">
      <w:pPr>
        <w:spacing w:after="0" w:line="240" w:lineRule="auto"/>
        <w:jc w:val="center"/>
        <w:rPr>
          <w:rFonts w:ascii="Arial" w:eastAsia="Arial Unicode MS" w:hAnsi="Arial" w:cs="Arial"/>
          <w:b/>
          <w:sz w:val="28"/>
          <w:szCs w:val="24"/>
          <w:bdr w:val="nil"/>
          <w:lang w:val="es-ES"/>
        </w:rPr>
      </w:pPr>
      <w:r w:rsidRPr="00254E28">
        <w:rPr>
          <w:rFonts w:ascii="Arial" w:eastAsia="Arial Unicode MS" w:hAnsi="Arial" w:cs="Arial"/>
          <w:b/>
          <w:sz w:val="28"/>
          <w:szCs w:val="24"/>
          <w:bdr w:val="nil"/>
          <w:lang w:val="es-ES"/>
        </w:rPr>
        <w:lastRenderedPageBreak/>
        <w:t>CONSIDERANDOS:</w:t>
      </w:r>
    </w:p>
    <w:p w:rsidR="001C7CFE" w:rsidRPr="00254E28" w:rsidRDefault="001C7CFE" w:rsidP="0022799E">
      <w:pPr>
        <w:spacing w:after="0" w:line="240" w:lineRule="auto"/>
        <w:jc w:val="center"/>
        <w:rPr>
          <w:rFonts w:ascii="Arial" w:eastAsia="Arial Unicode MS" w:hAnsi="Arial" w:cs="Arial"/>
          <w:b/>
          <w:sz w:val="28"/>
          <w:szCs w:val="24"/>
          <w:bdr w:val="nil"/>
          <w:lang w:val="es-ES"/>
        </w:rPr>
      </w:pPr>
    </w:p>
    <w:p w:rsidR="0022799E" w:rsidRPr="00254E28" w:rsidRDefault="0022799E" w:rsidP="00637AE3">
      <w:pPr>
        <w:spacing w:after="0" w:line="240" w:lineRule="auto"/>
        <w:jc w:val="both"/>
        <w:rPr>
          <w:rFonts w:ascii="Arial" w:eastAsia="Arial Unicode MS" w:hAnsi="Arial" w:cs="Arial"/>
          <w:sz w:val="24"/>
          <w:szCs w:val="24"/>
          <w:bdr w:val="nil"/>
          <w:lang w:val="es-ES"/>
        </w:rPr>
      </w:pPr>
    </w:p>
    <w:p w:rsidR="00637AE3" w:rsidRPr="00254E28" w:rsidRDefault="00923650" w:rsidP="00637AE3">
      <w:pPr>
        <w:spacing w:after="0" w:line="240" w:lineRule="auto"/>
        <w:jc w:val="both"/>
        <w:rPr>
          <w:rFonts w:ascii="Arial" w:eastAsia="Arial Unicode MS" w:hAnsi="Arial" w:cs="Arial"/>
          <w:sz w:val="24"/>
          <w:szCs w:val="24"/>
          <w:bdr w:val="nil"/>
        </w:rPr>
      </w:pPr>
      <w:r w:rsidRPr="00254E28">
        <w:rPr>
          <w:rFonts w:ascii="Arial" w:eastAsia="Arial Unicode MS" w:hAnsi="Arial" w:cs="Arial"/>
          <w:b/>
          <w:sz w:val="24"/>
          <w:szCs w:val="24"/>
          <w:bdr w:val="nil"/>
          <w:lang w:val="es-ES"/>
        </w:rPr>
        <w:t>1</w:t>
      </w:r>
      <w:r w:rsidR="00D45015" w:rsidRPr="00254E28">
        <w:rPr>
          <w:rFonts w:ascii="Arial" w:eastAsia="Arial Unicode MS" w:hAnsi="Arial" w:cs="Arial"/>
          <w:b/>
          <w:sz w:val="24"/>
          <w:szCs w:val="24"/>
          <w:bdr w:val="nil"/>
        </w:rPr>
        <w:t>.-</w:t>
      </w:r>
      <w:r w:rsidR="00D45015" w:rsidRPr="00254E28">
        <w:rPr>
          <w:rFonts w:ascii="Arial" w:eastAsia="Arial Unicode MS" w:hAnsi="Arial" w:cs="Arial"/>
          <w:sz w:val="24"/>
          <w:szCs w:val="24"/>
          <w:bdr w:val="nil"/>
        </w:rPr>
        <w:t xml:space="preserve"> </w:t>
      </w:r>
      <w:r w:rsidR="00641D56" w:rsidRPr="00254E28">
        <w:rPr>
          <w:rFonts w:ascii="Arial" w:eastAsia="Arial Unicode MS" w:hAnsi="Arial" w:cs="Arial"/>
          <w:sz w:val="24"/>
          <w:szCs w:val="24"/>
          <w:bdr w:val="nil"/>
        </w:rPr>
        <w:t>La Comisión Edilicia de Hacienda Púbica y Patrimonio Municipal, es competente para conocer, estudiar, analizar y dictaminar la solicitud</w:t>
      </w:r>
      <w:r w:rsidR="003116D8" w:rsidRPr="00254E28">
        <w:rPr>
          <w:rFonts w:ascii="Arial" w:eastAsia="Arial Unicode MS" w:hAnsi="Arial" w:cs="Arial"/>
          <w:sz w:val="24"/>
          <w:szCs w:val="24"/>
          <w:bdr w:val="nil"/>
        </w:rPr>
        <w:t xml:space="preserve"> descrita en la fracción cuarta de la parte expositiva de este dictamen</w:t>
      </w:r>
      <w:r w:rsidR="00641D56" w:rsidRPr="00254E28">
        <w:rPr>
          <w:rFonts w:ascii="Arial" w:eastAsia="Arial Unicode MS" w:hAnsi="Arial" w:cs="Arial"/>
          <w:sz w:val="24"/>
          <w:szCs w:val="24"/>
          <w:bdr w:val="nil"/>
        </w:rPr>
        <w:t>,</w:t>
      </w:r>
      <w:r w:rsidR="0042245A" w:rsidRPr="00254E28">
        <w:rPr>
          <w:rFonts w:ascii="Arial" w:eastAsia="Arial Unicode MS" w:hAnsi="Arial" w:cs="Arial"/>
          <w:sz w:val="24"/>
          <w:szCs w:val="24"/>
          <w:bdr w:val="nil"/>
        </w:rPr>
        <w:t xml:space="preserve"> </w:t>
      </w:r>
      <w:r w:rsidR="00641D56" w:rsidRPr="00254E28">
        <w:rPr>
          <w:rFonts w:ascii="Arial" w:eastAsia="Arial Unicode MS" w:hAnsi="Arial" w:cs="Arial"/>
          <w:sz w:val="24"/>
          <w:szCs w:val="24"/>
          <w:bdr w:val="nil"/>
        </w:rPr>
        <w:t xml:space="preserve">de conformidad a lo que dispone el </w:t>
      </w:r>
      <w:r w:rsidR="003116D8" w:rsidRPr="00254E28">
        <w:rPr>
          <w:rFonts w:ascii="Arial" w:eastAsia="Arial Unicode MS" w:hAnsi="Arial" w:cs="Arial"/>
          <w:sz w:val="24"/>
          <w:szCs w:val="24"/>
          <w:bdr w:val="nil"/>
          <w:lang w:val="es-ES"/>
        </w:rPr>
        <w:t>artículo 38 fracción II de la Ley del Gobierno y la Administración Pública Municipal del Estado de Jalisco</w:t>
      </w:r>
      <w:r w:rsidR="00641D56" w:rsidRPr="00254E28">
        <w:rPr>
          <w:rFonts w:ascii="Arial" w:eastAsia="Arial Unicode MS" w:hAnsi="Arial" w:cs="Arial"/>
          <w:sz w:val="24"/>
          <w:szCs w:val="24"/>
          <w:bdr w:val="nil"/>
        </w:rPr>
        <w:t xml:space="preserve">, </w:t>
      </w:r>
      <w:r w:rsidR="003116D8" w:rsidRPr="00254E28">
        <w:rPr>
          <w:rFonts w:ascii="Arial" w:eastAsia="Arial Unicode MS" w:hAnsi="Arial" w:cs="Arial"/>
          <w:sz w:val="24"/>
          <w:szCs w:val="24"/>
          <w:bdr w:val="nil"/>
        </w:rPr>
        <w:t>así como el artículo</w:t>
      </w:r>
      <w:r w:rsidR="00641D56" w:rsidRPr="00254E28">
        <w:rPr>
          <w:rFonts w:ascii="Arial" w:eastAsia="Arial Unicode MS" w:hAnsi="Arial" w:cs="Arial"/>
          <w:sz w:val="24"/>
          <w:szCs w:val="24"/>
          <w:bdr w:val="nil"/>
        </w:rPr>
        <w:t xml:space="preserve"> 64 fracción III del Reglamento Interior del Ayuntamiento de Zapotlán el Grande, Jalisco.</w:t>
      </w:r>
      <w:r w:rsidR="00D45015" w:rsidRPr="00254E28">
        <w:rPr>
          <w:rFonts w:ascii="Arial" w:eastAsia="Arial Unicode MS" w:hAnsi="Arial" w:cs="Arial"/>
          <w:sz w:val="24"/>
          <w:szCs w:val="24"/>
          <w:bdr w:val="nil"/>
        </w:rPr>
        <w:t xml:space="preserve"> </w:t>
      </w:r>
    </w:p>
    <w:p w:rsidR="00641D56" w:rsidRPr="00254E28" w:rsidRDefault="00641D56" w:rsidP="00637AE3">
      <w:pPr>
        <w:spacing w:after="0" w:line="240" w:lineRule="auto"/>
        <w:jc w:val="both"/>
        <w:rPr>
          <w:rFonts w:ascii="Arial" w:eastAsia="Arial Unicode MS" w:hAnsi="Arial" w:cs="Arial"/>
          <w:sz w:val="24"/>
          <w:szCs w:val="24"/>
          <w:bdr w:val="nil"/>
        </w:rPr>
      </w:pPr>
    </w:p>
    <w:p w:rsidR="003116D8" w:rsidRPr="00254E28" w:rsidRDefault="00637AE3" w:rsidP="00637AE3">
      <w:pPr>
        <w:spacing w:after="0" w:line="240" w:lineRule="auto"/>
        <w:jc w:val="both"/>
        <w:rPr>
          <w:rFonts w:ascii="Arial" w:eastAsia="Arial Unicode MS" w:hAnsi="Arial" w:cs="Arial"/>
          <w:sz w:val="24"/>
          <w:szCs w:val="24"/>
          <w:bdr w:val="nil"/>
          <w:lang w:val="es-ES"/>
        </w:rPr>
      </w:pPr>
      <w:r w:rsidRPr="00254E28">
        <w:rPr>
          <w:rFonts w:ascii="Arial" w:eastAsia="Arial Unicode MS" w:hAnsi="Arial" w:cs="Arial"/>
          <w:b/>
          <w:sz w:val="24"/>
          <w:szCs w:val="24"/>
          <w:bdr w:val="nil"/>
          <w:lang w:val="es-ES"/>
        </w:rPr>
        <w:t>2.-</w:t>
      </w:r>
      <w:r w:rsidR="003116D8" w:rsidRPr="00254E28">
        <w:rPr>
          <w:rFonts w:ascii="Arial" w:eastAsia="Arial Unicode MS" w:hAnsi="Arial" w:cs="Arial"/>
          <w:sz w:val="24"/>
          <w:szCs w:val="24"/>
          <w:bdr w:val="nil"/>
          <w:lang w:val="es-ES"/>
        </w:rPr>
        <w:t xml:space="preserve"> Visto lo anterior, en virtud de que</w:t>
      </w:r>
      <w:r w:rsidR="00A9429F" w:rsidRPr="00254E28">
        <w:rPr>
          <w:rFonts w:ascii="Arial" w:eastAsia="Arial Unicode MS" w:hAnsi="Arial" w:cs="Arial"/>
          <w:sz w:val="24"/>
          <w:szCs w:val="24"/>
          <w:bdr w:val="nil"/>
          <w:lang w:val="es-ES"/>
        </w:rPr>
        <w:t xml:space="preserve"> es necesario </w:t>
      </w:r>
      <w:r w:rsidR="001E086B" w:rsidRPr="00254E28">
        <w:rPr>
          <w:rFonts w:ascii="Arial" w:eastAsia="Arial Unicode MS" w:hAnsi="Arial" w:cs="Arial"/>
          <w:sz w:val="24"/>
          <w:szCs w:val="24"/>
          <w:bdr w:val="nil"/>
          <w:lang w:val="es-ES"/>
        </w:rPr>
        <w:t xml:space="preserve">otorgar certeza jurídica a los posesionarios de los bienes inmuebles que son propiedad del Municipio, así como el objeto para el cual son utilizados es de vital importancia para </w:t>
      </w:r>
      <w:r w:rsidR="007A36D5" w:rsidRPr="00254E28">
        <w:rPr>
          <w:rFonts w:ascii="Arial" w:eastAsia="Arial Unicode MS" w:hAnsi="Arial" w:cs="Arial"/>
          <w:sz w:val="24"/>
          <w:szCs w:val="24"/>
          <w:bdr w:val="nil"/>
          <w:lang w:val="es-ES"/>
        </w:rPr>
        <w:t>la ciudadanía</w:t>
      </w:r>
      <w:r w:rsidR="001E086B" w:rsidRPr="00254E28">
        <w:rPr>
          <w:rFonts w:ascii="Arial" w:eastAsia="Arial Unicode MS" w:hAnsi="Arial" w:cs="Arial"/>
          <w:sz w:val="24"/>
          <w:szCs w:val="24"/>
          <w:bdr w:val="nil"/>
          <w:lang w:val="es-ES"/>
        </w:rPr>
        <w:t>, esta Comisión considera viable renovar l</w:t>
      </w:r>
      <w:r w:rsidR="00C046A4" w:rsidRPr="00254E28">
        <w:rPr>
          <w:rFonts w:ascii="Arial" w:eastAsia="Arial Unicode MS" w:hAnsi="Arial" w:cs="Arial"/>
          <w:sz w:val="24"/>
          <w:szCs w:val="24"/>
          <w:bdr w:val="nil"/>
          <w:lang w:val="es-ES"/>
        </w:rPr>
        <w:t>os contratos de co</w:t>
      </w:r>
      <w:r w:rsidR="007A36D5" w:rsidRPr="00254E28">
        <w:rPr>
          <w:rFonts w:ascii="Arial" w:eastAsia="Arial Unicode MS" w:hAnsi="Arial" w:cs="Arial"/>
          <w:sz w:val="24"/>
          <w:szCs w:val="24"/>
          <w:bdr w:val="nil"/>
          <w:lang w:val="es-ES"/>
        </w:rPr>
        <w:t>modato para 08 ocho</w:t>
      </w:r>
      <w:r w:rsidR="001E086B" w:rsidRPr="00254E28">
        <w:rPr>
          <w:rFonts w:ascii="Arial" w:eastAsia="Arial Unicode MS" w:hAnsi="Arial" w:cs="Arial"/>
          <w:sz w:val="24"/>
          <w:szCs w:val="24"/>
          <w:bdr w:val="nil"/>
          <w:lang w:val="es-ES"/>
        </w:rPr>
        <w:t xml:space="preserve"> bienes inmuebles a f</w:t>
      </w:r>
      <w:r w:rsidR="00C046A4" w:rsidRPr="00254E28">
        <w:rPr>
          <w:rFonts w:ascii="Arial" w:eastAsia="Arial Unicode MS" w:hAnsi="Arial" w:cs="Arial"/>
          <w:sz w:val="24"/>
          <w:szCs w:val="24"/>
          <w:bdr w:val="nil"/>
          <w:lang w:val="es-ES"/>
        </w:rPr>
        <w:t xml:space="preserve">avor del </w:t>
      </w:r>
      <w:r w:rsidR="007A36D5" w:rsidRPr="00254E28">
        <w:rPr>
          <w:rFonts w:ascii="Arial" w:eastAsia="Arial Unicode MS" w:hAnsi="Arial" w:cs="Arial"/>
          <w:sz w:val="24"/>
          <w:szCs w:val="24"/>
          <w:bdr w:val="nil"/>
          <w:lang w:val="es-ES"/>
        </w:rPr>
        <w:t>Organismo Público Descentralizado operador del Agua Potable y Alcantarillado en Zapotlán el Grande denominado SAPAZA</w:t>
      </w:r>
      <w:r w:rsidR="00C046A4" w:rsidRPr="00254E28">
        <w:rPr>
          <w:rFonts w:ascii="Arial" w:eastAsia="Arial Unicode MS" w:hAnsi="Arial" w:cs="Arial"/>
          <w:sz w:val="24"/>
          <w:szCs w:val="24"/>
          <w:bdr w:val="nil"/>
          <w:lang w:val="es-ES"/>
        </w:rPr>
        <w:t>.</w:t>
      </w:r>
    </w:p>
    <w:p w:rsidR="00C046A4" w:rsidRPr="00254E28" w:rsidRDefault="00C046A4" w:rsidP="00637AE3">
      <w:pPr>
        <w:spacing w:after="0" w:line="240" w:lineRule="auto"/>
        <w:jc w:val="both"/>
        <w:rPr>
          <w:rFonts w:ascii="Arial" w:eastAsia="Arial Unicode MS" w:hAnsi="Arial" w:cs="Arial"/>
          <w:sz w:val="24"/>
          <w:szCs w:val="24"/>
          <w:bdr w:val="nil"/>
          <w:lang w:val="es-ES"/>
        </w:rPr>
      </w:pPr>
    </w:p>
    <w:p w:rsidR="006E7288" w:rsidRPr="00254E28" w:rsidRDefault="006E7288" w:rsidP="00637AE3">
      <w:pPr>
        <w:spacing w:after="0" w:line="240" w:lineRule="auto"/>
        <w:jc w:val="both"/>
        <w:rPr>
          <w:rFonts w:ascii="Arial" w:eastAsia="Arial Unicode MS" w:hAnsi="Arial" w:cs="Arial"/>
          <w:sz w:val="24"/>
          <w:szCs w:val="24"/>
          <w:bdr w:val="nil"/>
          <w:lang w:val="es-ES"/>
        </w:rPr>
      </w:pPr>
      <w:r w:rsidRPr="00254E28">
        <w:rPr>
          <w:rFonts w:ascii="Arial" w:eastAsia="Arial Unicode MS" w:hAnsi="Arial" w:cs="Arial"/>
          <w:sz w:val="24"/>
          <w:szCs w:val="24"/>
          <w:bdr w:val="nil"/>
          <w:lang w:val="es-ES"/>
        </w:rPr>
        <w:t xml:space="preserve">Por lo anteriormente </w:t>
      </w:r>
      <w:r w:rsidR="00F072C9" w:rsidRPr="00254E28">
        <w:rPr>
          <w:rFonts w:ascii="Arial" w:eastAsia="Arial Unicode MS" w:hAnsi="Arial" w:cs="Arial"/>
          <w:sz w:val="24"/>
          <w:szCs w:val="24"/>
          <w:bdr w:val="nil"/>
          <w:lang w:val="es-ES"/>
        </w:rPr>
        <w:t xml:space="preserve">expuesto de conformidad a lo dispuesto por los artículos 60, 71 y demás relativos y aplicables del Reglamento Interior del Ayuntamiento; los integrantes de la Comisión Edilicia de Hacienda Pública y Patrimonio Municipal, en sesión de Comisión número </w:t>
      </w:r>
      <w:r w:rsidR="00513822" w:rsidRPr="00254E28">
        <w:rPr>
          <w:rFonts w:ascii="Arial" w:eastAsia="Arial Unicode MS" w:hAnsi="Arial" w:cs="Arial"/>
          <w:sz w:val="24"/>
          <w:szCs w:val="24"/>
          <w:bdr w:val="nil"/>
          <w:lang w:val="es-ES"/>
        </w:rPr>
        <w:t>10</w:t>
      </w:r>
      <w:r w:rsidR="00F072C9" w:rsidRPr="00254E28">
        <w:rPr>
          <w:rFonts w:ascii="Arial" w:eastAsia="Arial Unicode MS" w:hAnsi="Arial" w:cs="Arial"/>
          <w:sz w:val="24"/>
          <w:szCs w:val="24"/>
          <w:bdr w:val="nil"/>
          <w:lang w:val="es-ES"/>
        </w:rPr>
        <w:t>, aprobamos</w:t>
      </w:r>
      <w:r w:rsidR="00842252" w:rsidRPr="00254E28">
        <w:rPr>
          <w:rFonts w:ascii="Arial" w:eastAsia="Arial Unicode MS" w:hAnsi="Arial" w:cs="Arial"/>
          <w:sz w:val="24"/>
          <w:szCs w:val="24"/>
          <w:bdr w:val="nil"/>
          <w:lang w:val="es-ES"/>
        </w:rPr>
        <w:t xml:space="preserve"> el punto número </w:t>
      </w:r>
      <w:r w:rsidR="00513822" w:rsidRPr="00254E28">
        <w:rPr>
          <w:rFonts w:ascii="Arial" w:eastAsia="Arial Unicode MS" w:hAnsi="Arial" w:cs="Arial"/>
          <w:sz w:val="24"/>
          <w:szCs w:val="24"/>
          <w:bdr w:val="nil"/>
          <w:lang w:val="es-ES"/>
        </w:rPr>
        <w:t>“varios”</w:t>
      </w:r>
      <w:r w:rsidR="00541FBA" w:rsidRPr="00254E28">
        <w:rPr>
          <w:rFonts w:ascii="Arial" w:eastAsia="Arial Unicode MS" w:hAnsi="Arial" w:cs="Arial"/>
          <w:sz w:val="24"/>
          <w:szCs w:val="24"/>
          <w:bdr w:val="nil"/>
          <w:lang w:val="es-ES"/>
        </w:rPr>
        <w:t xml:space="preserve"> </w:t>
      </w:r>
      <w:r w:rsidR="00842252" w:rsidRPr="00254E28">
        <w:rPr>
          <w:rFonts w:ascii="Arial" w:eastAsia="Arial Unicode MS" w:hAnsi="Arial" w:cs="Arial"/>
          <w:sz w:val="24"/>
          <w:szCs w:val="24"/>
          <w:bdr w:val="nil"/>
          <w:lang w:val="es-ES"/>
        </w:rPr>
        <w:t>del orden del día</w:t>
      </w:r>
      <w:r w:rsidR="00F072C9" w:rsidRPr="00254E28">
        <w:rPr>
          <w:rFonts w:ascii="Arial" w:eastAsia="Arial Unicode MS" w:hAnsi="Arial" w:cs="Arial"/>
          <w:sz w:val="24"/>
          <w:szCs w:val="24"/>
          <w:bdr w:val="nil"/>
          <w:lang w:val="es-ES"/>
        </w:rPr>
        <w:t xml:space="preserve"> por </w:t>
      </w:r>
      <w:r w:rsidR="009510C0" w:rsidRPr="00254E28">
        <w:rPr>
          <w:rFonts w:ascii="Arial" w:eastAsia="Arial Unicode MS" w:hAnsi="Arial" w:cs="Arial"/>
          <w:sz w:val="24"/>
          <w:szCs w:val="24"/>
          <w:bdr w:val="nil"/>
          <w:lang w:val="es-ES"/>
        </w:rPr>
        <w:t>unanimidad</w:t>
      </w:r>
      <w:r w:rsidR="00F072C9" w:rsidRPr="00254E28">
        <w:rPr>
          <w:rFonts w:ascii="Arial" w:eastAsia="Arial Unicode MS" w:hAnsi="Arial" w:cs="Arial"/>
          <w:sz w:val="24"/>
          <w:szCs w:val="24"/>
          <w:bdr w:val="nil"/>
          <w:lang w:val="es-ES"/>
        </w:rPr>
        <w:t>;</w:t>
      </w:r>
      <w:r w:rsidR="00CB40A5" w:rsidRPr="00254E28">
        <w:rPr>
          <w:rFonts w:ascii="Arial" w:eastAsia="Arial Unicode MS" w:hAnsi="Arial" w:cs="Arial"/>
          <w:sz w:val="24"/>
          <w:szCs w:val="24"/>
          <w:bdr w:val="nil"/>
          <w:lang w:val="es-ES"/>
        </w:rPr>
        <w:t xml:space="preserve"> proponiendo </w:t>
      </w:r>
      <w:r w:rsidR="00842252" w:rsidRPr="00254E28">
        <w:rPr>
          <w:rFonts w:ascii="Arial" w:eastAsia="Arial Unicode MS" w:hAnsi="Arial" w:cs="Arial"/>
          <w:sz w:val="24"/>
          <w:szCs w:val="24"/>
          <w:bdr w:val="nil"/>
          <w:lang w:val="es-ES"/>
        </w:rPr>
        <w:t xml:space="preserve">a este Pleno </w:t>
      </w:r>
      <w:r w:rsidR="00CB40A5" w:rsidRPr="00254E28">
        <w:rPr>
          <w:rFonts w:ascii="Arial" w:eastAsia="Arial Unicode MS" w:hAnsi="Arial" w:cs="Arial"/>
          <w:sz w:val="24"/>
          <w:szCs w:val="24"/>
          <w:bdr w:val="nil"/>
          <w:lang w:val="es-ES"/>
        </w:rPr>
        <w:t>para su discusión y en su caso aprobación, Dictamen que contiene los siguientes</w:t>
      </w:r>
    </w:p>
    <w:p w:rsidR="00C87593" w:rsidRPr="00254E28" w:rsidRDefault="00C87593" w:rsidP="00637AE3">
      <w:pPr>
        <w:spacing w:after="0" w:line="240" w:lineRule="auto"/>
        <w:jc w:val="both"/>
        <w:rPr>
          <w:rFonts w:ascii="Arial" w:eastAsia="Arial Unicode MS" w:hAnsi="Arial" w:cs="Arial"/>
          <w:sz w:val="24"/>
          <w:szCs w:val="24"/>
          <w:bdr w:val="nil"/>
          <w:lang w:val="es-ES"/>
        </w:rPr>
      </w:pPr>
    </w:p>
    <w:p w:rsidR="00CB40A5" w:rsidRPr="00254E28" w:rsidRDefault="00CB40A5" w:rsidP="00637AE3">
      <w:pPr>
        <w:spacing w:after="0" w:line="240" w:lineRule="auto"/>
        <w:jc w:val="both"/>
        <w:rPr>
          <w:rFonts w:ascii="Arial" w:eastAsia="Arial Unicode MS" w:hAnsi="Arial" w:cs="Arial"/>
          <w:sz w:val="24"/>
          <w:szCs w:val="24"/>
          <w:bdr w:val="nil"/>
          <w:lang w:val="es-ES"/>
        </w:rPr>
      </w:pPr>
    </w:p>
    <w:p w:rsidR="00CB40A5" w:rsidRPr="00254E28" w:rsidRDefault="00CB40A5" w:rsidP="00CB40A5">
      <w:pPr>
        <w:spacing w:after="0" w:line="240" w:lineRule="auto"/>
        <w:jc w:val="center"/>
        <w:rPr>
          <w:rFonts w:ascii="Arial" w:eastAsia="Arial Unicode MS" w:hAnsi="Arial" w:cs="Arial"/>
          <w:b/>
          <w:sz w:val="24"/>
          <w:szCs w:val="24"/>
          <w:bdr w:val="nil"/>
          <w:lang w:val="es-ES"/>
        </w:rPr>
      </w:pPr>
      <w:r w:rsidRPr="00254E28">
        <w:rPr>
          <w:rFonts w:ascii="Arial" w:eastAsia="Arial Unicode MS" w:hAnsi="Arial" w:cs="Arial"/>
          <w:b/>
          <w:sz w:val="24"/>
          <w:szCs w:val="24"/>
          <w:bdr w:val="nil"/>
          <w:lang w:val="es-ES"/>
        </w:rPr>
        <w:t>RESOLUTIVOS:</w:t>
      </w:r>
    </w:p>
    <w:p w:rsidR="00C87593" w:rsidRPr="00254E28" w:rsidRDefault="00C87593" w:rsidP="00CB40A5">
      <w:pPr>
        <w:spacing w:after="0" w:line="240" w:lineRule="auto"/>
        <w:jc w:val="center"/>
        <w:rPr>
          <w:rFonts w:ascii="Arial" w:eastAsia="Arial Unicode MS" w:hAnsi="Arial" w:cs="Arial"/>
          <w:b/>
          <w:sz w:val="24"/>
          <w:szCs w:val="24"/>
          <w:bdr w:val="nil"/>
          <w:lang w:val="es-ES"/>
        </w:rPr>
      </w:pPr>
    </w:p>
    <w:p w:rsidR="00CB40A5" w:rsidRPr="00254E28" w:rsidRDefault="00CB40A5" w:rsidP="00CB40A5">
      <w:pPr>
        <w:spacing w:after="0" w:line="240" w:lineRule="auto"/>
        <w:jc w:val="center"/>
        <w:rPr>
          <w:rFonts w:ascii="Arial" w:eastAsia="Arial Unicode MS" w:hAnsi="Arial" w:cs="Arial"/>
          <w:b/>
          <w:sz w:val="24"/>
          <w:szCs w:val="24"/>
          <w:bdr w:val="nil"/>
          <w:lang w:val="es-ES"/>
        </w:rPr>
      </w:pPr>
    </w:p>
    <w:p w:rsidR="00637AE3" w:rsidRPr="00254E28" w:rsidRDefault="00B523EA" w:rsidP="00187AD4">
      <w:pPr>
        <w:spacing w:after="0" w:line="240" w:lineRule="auto"/>
        <w:jc w:val="both"/>
        <w:rPr>
          <w:rFonts w:ascii="Arial" w:eastAsia="Arial Unicode MS" w:hAnsi="Arial" w:cs="Arial"/>
          <w:sz w:val="24"/>
          <w:szCs w:val="24"/>
          <w:bdr w:val="nil"/>
          <w:lang w:val="es-ES"/>
        </w:rPr>
      </w:pPr>
      <w:r w:rsidRPr="00254E28">
        <w:rPr>
          <w:rFonts w:ascii="Arial" w:eastAsia="Arial Unicode MS" w:hAnsi="Arial" w:cs="Arial"/>
          <w:b/>
          <w:sz w:val="24"/>
          <w:szCs w:val="24"/>
          <w:bdr w:val="nil"/>
          <w:lang w:val="es-ES"/>
        </w:rPr>
        <w:t xml:space="preserve">PRIMERO.- </w:t>
      </w:r>
      <w:r w:rsidRPr="00254E28">
        <w:rPr>
          <w:rFonts w:ascii="Arial" w:eastAsia="Arial Unicode MS" w:hAnsi="Arial" w:cs="Arial"/>
          <w:sz w:val="24"/>
          <w:szCs w:val="24"/>
          <w:bdr w:val="nil"/>
          <w:lang w:val="es-ES"/>
        </w:rPr>
        <w:t xml:space="preserve">Se aprueba y autoriza al Municipio de Zapotlán el Grande, </w:t>
      </w:r>
      <w:r w:rsidR="002A6B35" w:rsidRPr="00254E28">
        <w:rPr>
          <w:rFonts w:ascii="Arial" w:eastAsia="Arial Unicode MS" w:hAnsi="Arial" w:cs="Arial"/>
          <w:sz w:val="24"/>
          <w:szCs w:val="24"/>
          <w:bdr w:val="nil"/>
          <w:lang w:val="es-ES"/>
        </w:rPr>
        <w:t>celebrar contratos de comodato</w:t>
      </w:r>
      <w:r w:rsidR="001E086B" w:rsidRPr="00254E28">
        <w:rPr>
          <w:rFonts w:ascii="Arial" w:eastAsia="Arial Unicode MS" w:hAnsi="Arial" w:cs="Arial"/>
          <w:sz w:val="24"/>
          <w:szCs w:val="24"/>
          <w:bdr w:val="nil"/>
          <w:lang w:val="es-ES"/>
        </w:rPr>
        <w:t xml:space="preserve"> </w:t>
      </w:r>
      <w:r w:rsidR="002A6B35" w:rsidRPr="00254E28">
        <w:rPr>
          <w:rFonts w:ascii="Arial" w:eastAsia="Arial Unicode MS" w:hAnsi="Arial" w:cs="Arial"/>
          <w:sz w:val="24"/>
          <w:szCs w:val="24"/>
          <w:bdr w:val="nil"/>
          <w:lang w:val="es-ES"/>
        </w:rPr>
        <w:t>a favor del Organismo Público Descentralizado Sistema de Agua Potable de</w:t>
      </w:r>
      <w:r w:rsidR="001E086B" w:rsidRPr="00254E28">
        <w:rPr>
          <w:rFonts w:ascii="Arial" w:eastAsia="Arial Unicode MS" w:hAnsi="Arial" w:cs="Arial"/>
          <w:sz w:val="24"/>
          <w:szCs w:val="24"/>
          <w:bdr w:val="nil"/>
          <w:lang w:val="es-ES"/>
        </w:rPr>
        <w:t xml:space="preserve"> Zapotlán</w:t>
      </w:r>
      <w:r w:rsidR="002A6B35" w:rsidRPr="00254E28">
        <w:rPr>
          <w:rFonts w:ascii="Arial" w:eastAsia="Arial Unicode MS" w:hAnsi="Arial" w:cs="Arial"/>
          <w:sz w:val="24"/>
          <w:szCs w:val="24"/>
          <w:bdr w:val="nil"/>
          <w:lang w:val="es-ES"/>
        </w:rPr>
        <w:t xml:space="preserve"> </w:t>
      </w:r>
      <w:r w:rsidR="001E086B" w:rsidRPr="00254E28">
        <w:rPr>
          <w:rFonts w:ascii="Arial" w:eastAsia="Arial Unicode MS" w:hAnsi="Arial" w:cs="Arial"/>
          <w:sz w:val="24"/>
          <w:szCs w:val="24"/>
          <w:bdr w:val="nil"/>
          <w:lang w:val="es-ES"/>
        </w:rPr>
        <w:t>el Grande</w:t>
      </w:r>
      <w:r w:rsidR="002A6B35" w:rsidRPr="00254E28">
        <w:rPr>
          <w:rFonts w:ascii="Arial" w:eastAsia="Arial Unicode MS" w:hAnsi="Arial" w:cs="Arial"/>
          <w:sz w:val="24"/>
          <w:szCs w:val="24"/>
          <w:bdr w:val="nil"/>
          <w:lang w:val="es-ES"/>
        </w:rPr>
        <w:t xml:space="preserve"> (SAPAZA) respecto a los predios de propiedad Municipal descritos en el numeral tercero de la parte de antecedentes de este dictamen</w:t>
      </w:r>
      <w:r w:rsidR="00187AD4" w:rsidRPr="00254E28">
        <w:rPr>
          <w:rFonts w:ascii="Arial" w:eastAsia="Arial Unicode MS" w:hAnsi="Arial" w:cs="Arial"/>
          <w:sz w:val="24"/>
          <w:szCs w:val="24"/>
          <w:bdr w:val="nil"/>
          <w:lang w:val="es-ES"/>
        </w:rPr>
        <w:t>.</w:t>
      </w:r>
    </w:p>
    <w:p w:rsidR="00D53A45" w:rsidRPr="00254E28" w:rsidRDefault="00D53A45" w:rsidP="00187AD4">
      <w:pPr>
        <w:spacing w:after="0" w:line="240" w:lineRule="auto"/>
        <w:jc w:val="both"/>
        <w:rPr>
          <w:rFonts w:ascii="Arial" w:eastAsia="Arial Unicode MS" w:hAnsi="Arial" w:cs="Arial"/>
          <w:b/>
          <w:sz w:val="28"/>
          <w:szCs w:val="24"/>
          <w:bdr w:val="nil"/>
          <w:lang w:val="es-ES"/>
        </w:rPr>
      </w:pPr>
    </w:p>
    <w:p w:rsidR="00D53A45" w:rsidRPr="00254E28" w:rsidRDefault="00D53A45" w:rsidP="00D53A45">
      <w:pPr>
        <w:spacing w:after="0" w:line="240" w:lineRule="auto"/>
        <w:jc w:val="both"/>
        <w:rPr>
          <w:rFonts w:ascii="Arial" w:eastAsia="Arial Unicode MS" w:hAnsi="Arial" w:cs="Arial"/>
          <w:sz w:val="24"/>
          <w:szCs w:val="24"/>
          <w:bdr w:val="nil"/>
          <w:lang w:val="es-ES"/>
        </w:rPr>
      </w:pPr>
      <w:r w:rsidRPr="00254E28">
        <w:rPr>
          <w:rFonts w:ascii="Arial" w:eastAsia="Arial Unicode MS" w:hAnsi="Arial" w:cs="Arial"/>
          <w:b/>
          <w:sz w:val="24"/>
          <w:szCs w:val="24"/>
          <w:bdr w:val="nil"/>
          <w:lang w:val="es-ES"/>
        </w:rPr>
        <w:t xml:space="preserve">SEGUNDO.- </w:t>
      </w:r>
      <w:r w:rsidRPr="00254E28">
        <w:rPr>
          <w:rFonts w:ascii="Arial" w:eastAsia="Arial Unicode MS" w:hAnsi="Arial" w:cs="Arial"/>
          <w:sz w:val="24"/>
          <w:szCs w:val="24"/>
          <w:bdr w:val="nil"/>
          <w:lang w:val="es-ES"/>
        </w:rPr>
        <w:t>Se instruya a la Síndico Municipal la Lic. Cindy Estefany García Orozco, para que a través de la Dirección Jurídica se realicen los Contratos de Comodato correspondientes entre el Municipio de Zapotlán el Grande, Jalisco y el Organismo Público Descentralizado denominado SAPAZA (Sistema de Agua Potable de Zapotlán), en los siguientes términos:</w:t>
      </w:r>
    </w:p>
    <w:p w:rsidR="00D53A45" w:rsidRPr="00254E28" w:rsidRDefault="00D53A45" w:rsidP="00D53A45">
      <w:pPr>
        <w:spacing w:after="0" w:line="240" w:lineRule="auto"/>
        <w:jc w:val="both"/>
        <w:rPr>
          <w:rFonts w:ascii="Arial" w:eastAsia="Arial Unicode MS" w:hAnsi="Arial" w:cs="Arial"/>
          <w:sz w:val="24"/>
          <w:szCs w:val="24"/>
          <w:bdr w:val="nil"/>
          <w:lang w:val="es-ES"/>
        </w:rPr>
      </w:pPr>
    </w:p>
    <w:p w:rsidR="00D53A45" w:rsidRPr="00254E28" w:rsidRDefault="00D53A45" w:rsidP="00D53A45">
      <w:pPr>
        <w:pStyle w:val="Prrafodelista"/>
        <w:numPr>
          <w:ilvl w:val="0"/>
          <w:numId w:val="2"/>
        </w:numPr>
        <w:spacing w:after="0" w:line="240" w:lineRule="auto"/>
        <w:jc w:val="both"/>
        <w:rPr>
          <w:rFonts w:ascii="Arial" w:eastAsia="Arial Unicode MS" w:hAnsi="Arial" w:cs="Arial"/>
          <w:sz w:val="24"/>
          <w:szCs w:val="24"/>
          <w:bdr w:val="nil"/>
          <w:lang w:val="es-ES"/>
        </w:rPr>
      </w:pPr>
      <w:r w:rsidRPr="00254E28">
        <w:rPr>
          <w:rFonts w:ascii="Arial" w:eastAsia="Arial Unicode MS" w:hAnsi="Arial" w:cs="Arial"/>
          <w:sz w:val="24"/>
          <w:szCs w:val="24"/>
          <w:bdr w:val="nil"/>
          <w:lang w:val="es-ES"/>
        </w:rPr>
        <w:lastRenderedPageBreak/>
        <w:t>Vigencia: Hasta el 30 de Septiembre del año 2021, duración de la actual administración pública Municipal;</w:t>
      </w:r>
    </w:p>
    <w:p w:rsidR="00D53A45" w:rsidRPr="00254E28" w:rsidRDefault="00D53A45" w:rsidP="00D53A45">
      <w:pPr>
        <w:pStyle w:val="Prrafodelista"/>
        <w:numPr>
          <w:ilvl w:val="0"/>
          <w:numId w:val="2"/>
        </w:numPr>
        <w:spacing w:after="0" w:line="240" w:lineRule="auto"/>
        <w:jc w:val="both"/>
        <w:rPr>
          <w:rFonts w:ascii="Arial" w:eastAsia="Arial Unicode MS" w:hAnsi="Arial" w:cs="Arial"/>
          <w:sz w:val="24"/>
          <w:szCs w:val="24"/>
          <w:bdr w:val="nil"/>
          <w:lang w:val="es-ES"/>
        </w:rPr>
      </w:pPr>
      <w:r w:rsidRPr="00254E28">
        <w:rPr>
          <w:rFonts w:ascii="Arial" w:eastAsia="Arial Unicode MS" w:hAnsi="Arial" w:cs="Arial"/>
          <w:sz w:val="24"/>
          <w:szCs w:val="24"/>
          <w:bdr w:val="nil"/>
          <w:lang w:val="es-ES"/>
        </w:rPr>
        <w:t>Con destino único y exclusivamente para la operación de Pozo Profundo que se encuentre dentro de la propiedad.</w:t>
      </w:r>
    </w:p>
    <w:p w:rsidR="00D53A45" w:rsidRPr="00254E28" w:rsidRDefault="00D53A45" w:rsidP="00D53A45">
      <w:pPr>
        <w:pStyle w:val="Prrafodelista"/>
        <w:numPr>
          <w:ilvl w:val="0"/>
          <w:numId w:val="2"/>
        </w:numPr>
        <w:spacing w:after="0" w:line="240" w:lineRule="auto"/>
        <w:jc w:val="both"/>
        <w:rPr>
          <w:rFonts w:ascii="Arial" w:eastAsia="Arial Unicode MS" w:hAnsi="Arial" w:cs="Arial"/>
          <w:sz w:val="24"/>
          <w:szCs w:val="24"/>
          <w:bdr w:val="nil"/>
          <w:lang w:val="es-ES"/>
        </w:rPr>
      </w:pPr>
      <w:r w:rsidRPr="00254E28">
        <w:rPr>
          <w:rFonts w:ascii="Arial" w:eastAsia="Arial Unicode MS" w:hAnsi="Arial" w:cs="Arial"/>
          <w:sz w:val="24"/>
          <w:szCs w:val="24"/>
          <w:bdr w:val="nil"/>
          <w:lang w:val="es-ES"/>
        </w:rPr>
        <w:t>La infraestructura, mejoras, accesorios y demás aditamentos que se realicen en la construcción que ya se encuentra parcialmente concluida, pasará a ser parte integrante del patrimonio municipal, por lo que el comodatario no generará derechos sobre el mismo.</w:t>
      </w:r>
    </w:p>
    <w:p w:rsidR="00D53A45" w:rsidRPr="00254E28" w:rsidRDefault="00D53A45" w:rsidP="00D53A45">
      <w:pPr>
        <w:pStyle w:val="Prrafodelista"/>
        <w:numPr>
          <w:ilvl w:val="0"/>
          <w:numId w:val="2"/>
        </w:numPr>
        <w:spacing w:after="0" w:line="240" w:lineRule="auto"/>
        <w:jc w:val="both"/>
        <w:rPr>
          <w:rFonts w:ascii="Arial" w:eastAsia="Arial Unicode MS" w:hAnsi="Arial" w:cs="Arial"/>
          <w:sz w:val="24"/>
          <w:szCs w:val="24"/>
          <w:bdr w:val="nil"/>
          <w:lang w:val="es-ES"/>
        </w:rPr>
      </w:pPr>
      <w:r w:rsidRPr="00254E28">
        <w:rPr>
          <w:rFonts w:ascii="Arial" w:eastAsia="Arial Unicode MS" w:hAnsi="Arial" w:cs="Arial"/>
          <w:sz w:val="24"/>
          <w:szCs w:val="24"/>
          <w:bdr w:val="nil"/>
          <w:lang w:val="es-ES"/>
        </w:rPr>
        <w:t>No ceder a ningún tercero parcial o totalmente los derechos derivados de este contrato, ni otorgar en sub-comodato el inmueble materia del mismo.</w:t>
      </w:r>
    </w:p>
    <w:p w:rsidR="00D53A45" w:rsidRPr="00254E28" w:rsidRDefault="00D53A45" w:rsidP="00D53A45">
      <w:pPr>
        <w:pStyle w:val="Prrafodelista"/>
        <w:numPr>
          <w:ilvl w:val="0"/>
          <w:numId w:val="2"/>
        </w:numPr>
        <w:spacing w:after="0" w:line="240" w:lineRule="auto"/>
        <w:jc w:val="both"/>
        <w:rPr>
          <w:rFonts w:ascii="Arial" w:eastAsia="Arial Unicode MS" w:hAnsi="Arial" w:cs="Arial"/>
          <w:sz w:val="24"/>
          <w:szCs w:val="24"/>
          <w:bdr w:val="nil"/>
          <w:lang w:val="es-ES"/>
        </w:rPr>
      </w:pPr>
      <w:r w:rsidRPr="00254E28">
        <w:rPr>
          <w:rFonts w:ascii="Arial" w:eastAsia="Arial Unicode MS" w:hAnsi="Arial" w:cs="Arial"/>
          <w:sz w:val="24"/>
          <w:szCs w:val="24"/>
          <w:bdr w:val="nil"/>
          <w:lang w:val="es-ES"/>
        </w:rPr>
        <w:t>En caso de que se necesite, se realice por parte del personal del Organismo, la circulación de la fracción que se otorga en Comodato para su propia identificación y con el fin de restringir el acceso a la misma, corriendo el gasto correspondiente a cargo del mismo Organismo.</w:t>
      </w:r>
    </w:p>
    <w:p w:rsidR="00D53A45" w:rsidRPr="00254E28" w:rsidRDefault="00D53A45" w:rsidP="00D53A45">
      <w:pPr>
        <w:pStyle w:val="Prrafodelista"/>
        <w:numPr>
          <w:ilvl w:val="0"/>
          <w:numId w:val="2"/>
        </w:numPr>
        <w:spacing w:after="0" w:line="240" w:lineRule="auto"/>
        <w:jc w:val="both"/>
        <w:rPr>
          <w:rFonts w:ascii="Arial" w:eastAsia="Arial Unicode MS" w:hAnsi="Arial" w:cs="Arial"/>
          <w:sz w:val="24"/>
          <w:szCs w:val="24"/>
          <w:bdr w:val="nil"/>
          <w:lang w:val="es-ES"/>
        </w:rPr>
      </w:pPr>
      <w:r w:rsidRPr="00254E28">
        <w:rPr>
          <w:rFonts w:ascii="Arial" w:eastAsia="Arial Unicode MS" w:hAnsi="Arial" w:cs="Arial"/>
          <w:sz w:val="24"/>
          <w:szCs w:val="24"/>
          <w:bdr w:val="nil"/>
          <w:lang w:val="es-ES"/>
        </w:rPr>
        <w:t>De no cumplirse estas condicionantes así como las demás establecidas en el Contrato de Comodato que sea celebrado entre las partes, así como no apegarse a lo establecido por los artículos 2147 al 2166 de la Legislación Civil del Estado de Jalisco, el contrato dejará de surtir sus efectos y será revocado en forma inmediata, facultando para tal efecto al Síndico Municipal a establecer las cláusulas exorbitantes que garanticen la reintegración del predio al Municipio en caso de incumplimiento.</w:t>
      </w:r>
    </w:p>
    <w:p w:rsidR="00D53A45" w:rsidRPr="00254E28" w:rsidRDefault="00D53A45" w:rsidP="00187AD4">
      <w:pPr>
        <w:spacing w:after="0" w:line="240" w:lineRule="auto"/>
        <w:jc w:val="both"/>
        <w:rPr>
          <w:rFonts w:ascii="Arial" w:eastAsia="Arial Unicode MS" w:hAnsi="Arial" w:cs="Arial"/>
          <w:b/>
          <w:sz w:val="28"/>
          <w:szCs w:val="24"/>
          <w:bdr w:val="nil"/>
          <w:lang w:val="es-ES"/>
        </w:rPr>
      </w:pPr>
    </w:p>
    <w:p w:rsidR="00637AE3" w:rsidRPr="00254E28" w:rsidRDefault="00637AE3" w:rsidP="00637AE3">
      <w:pPr>
        <w:spacing w:after="0" w:line="240" w:lineRule="auto"/>
        <w:jc w:val="both"/>
        <w:rPr>
          <w:rFonts w:ascii="Arial" w:eastAsia="Arial Unicode MS" w:hAnsi="Arial" w:cs="Arial"/>
          <w:b/>
          <w:sz w:val="24"/>
          <w:szCs w:val="24"/>
          <w:bdr w:val="nil"/>
          <w:lang w:val="es-ES"/>
        </w:rPr>
      </w:pPr>
    </w:p>
    <w:p w:rsidR="00B523EA" w:rsidRPr="00254E28" w:rsidRDefault="00B7523A" w:rsidP="00637AE3">
      <w:pPr>
        <w:spacing w:after="0" w:line="240" w:lineRule="auto"/>
        <w:jc w:val="both"/>
        <w:rPr>
          <w:rFonts w:ascii="Arial" w:eastAsia="Arial Unicode MS" w:hAnsi="Arial" w:cs="Arial"/>
          <w:b/>
          <w:sz w:val="24"/>
          <w:szCs w:val="24"/>
          <w:bdr w:val="nil"/>
          <w:lang w:val="es-ES"/>
        </w:rPr>
      </w:pPr>
      <w:r w:rsidRPr="00254E28">
        <w:rPr>
          <w:rFonts w:ascii="Arial" w:eastAsia="Arial Unicode MS" w:hAnsi="Arial" w:cs="Arial"/>
          <w:b/>
          <w:sz w:val="24"/>
          <w:szCs w:val="24"/>
          <w:bdr w:val="nil"/>
          <w:lang w:val="es-ES"/>
        </w:rPr>
        <w:t>TERCERO</w:t>
      </w:r>
      <w:r w:rsidR="00637AE3" w:rsidRPr="00254E28">
        <w:rPr>
          <w:rFonts w:ascii="Arial" w:eastAsia="Arial Unicode MS" w:hAnsi="Arial" w:cs="Arial"/>
          <w:b/>
          <w:sz w:val="24"/>
          <w:szCs w:val="24"/>
          <w:bdr w:val="nil"/>
          <w:lang w:val="es-ES"/>
        </w:rPr>
        <w:t xml:space="preserve">.- </w:t>
      </w:r>
      <w:r w:rsidR="00166A1B" w:rsidRPr="00254E28">
        <w:rPr>
          <w:rFonts w:ascii="Arial" w:eastAsia="Arial Unicode MS" w:hAnsi="Arial" w:cs="Arial"/>
          <w:sz w:val="24"/>
          <w:szCs w:val="24"/>
          <w:bdr w:val="nil"/>
          <w:lang w:val="es-ES"/>
        </w:rPr>
        <w:t>Se autoriza y faculta a los representantes del Ayuntamiento, Presidente Municipal, Secretario Gene</w:t>
      </w:r>
      <w:r w:rsidR="002A6B35" w:rsidRPr="00254E28">
        <w:rPr>
          <w:rFonts w:ascii="Arial" w:eastAsia="Arial Unicode MS" w:hAnsi="Arial" w:cs="Arial"/>
          <w:sz w:val="24"/>
          <w:szCs w:val="24"/>
          <w:bdr w:val="nil"/>
          <w:lang w:val="es-ES"/>
        </w:rPr>
        <w:t>ral y Síndico, para suscribir los</w:t>
      </w:r>
      <w:r w:rsidR="00166A1B" w:rsidRPr="00254E28">
        <w:rPr>
          <w:rFonts w:ascii="Arial" w:eastAsia="Arial Unicode MS" w:hAnsi="Arial" w:cs="Arial"/>
          <w:sz w:val="24"/>
          <w:szCs w:val="24"/>
          <w:bdr w:val="nil"/>
          <w:lang w:val="es-ES"/>
        </w:rPr>
        <w:t xml:space="preserve"> contrato</w:t>
      </w:r>
      <w:r w:rsidR="002A6B35" w:rsidRPr="00254E28">
        <w:rPr>
          <w:rFonts w:ascii="Arial" w:eastAsia="Arial Unicode MS" w:hAnsi="Arial" w:cs="Arial"/>
          <w:sz w:val="24"/>
          <w:szCs w:val="24"/>
          <w:bdr w:val="nil"/>
          <w:lang w:val="es-ES"/>
        </w:rPr>
        <w:t>s</w:t>
      </w:r>
      <w:r w:rsidR="00166A1B" w:rsidRPr="00254E28">
        <w:rPr>
          <w:rFonts w:ascii="Arial" w:eastAsia="Arial Unicode MS" w:hAnsi="Arial" w:cs="Arial"/>
          <w:sz w:val="24"/>
          <w:szCs w:val="24"/>
          <w:bdr w:val="nil"/>
          <w:lang w:val="es-ES"/>
        </w:rPr>
        <w:t xml:space="preserve"> de comodato, así como la documentación inherente al cumplimiento del presente acuerdo.</w:t>
      </w:r>
    </w:p>
    <w:p w:rsidR="00637AE3" w:rsidRPr="00254E28" w:rsidRDefault="00637AE3" w:rsidP="00637AE3">
      <w:pPr>
        <w:spacing w:after="0" w:line="240" w:lineRule="auto"/>
        <w:jc w:val="both"/>
        <w:rPr>
          <w:rFonts w:ascii="Arial" w:eastAsia="Arial Unicode MS" w:hAnsi="Arial" w:cs="Arial"/>
          <w:b/>
          <w:sz w:val="24"/>
          <w:szCs w:val="24"/>
          <w:bdr w:val="nil"/>
          <w:lang w:val="es-ES"/>
        </w:rPr>
      </w:pPr>
    </w:p>
    <w:p w:rsidR="00E3227C" w:rsidRPr="00254E28" w:rsidRDefault="00E3227C" w:rsidP="00E3227C">
      <w:pPr>
        <w:spacing w:after="0" w:line="240" w:lineRule="auto"/>
        <w:jc w:val="both"/>
        <w:rPr>
          <w:rFonts w:ascii="Arial" w:eastAsia="Arial Unicode MS" w:hAnsi="Arial" w:cs="Arial"/>
          <w:sz w:val="24"/>
          <w:szCs w:val="24"/>
          <w:bdr w:val="nil"/>
          <w:lang w:val="es-ES"/>
        </w:rPr>
      </w:pPr>
    </w:p>
    <w:p w:rsidR="00E3227C" w:rsidRPr="00254E28" w:rsidRDefault="00DB47AA" w:rsidP="00E3227C">
      <w:pPr>
        <w:spacing w:after="0" w:line="240" w:lineRule="auto"/>
        <w:jc w:val="both"/>
        <w:rPr>
          <w:rFonts w:ascii="Arial" w:eastAsia="Arial Unicode MS" w:hAnsi="Arial" w:cs="Arial"/>
          <w:sz w:val="24"/>
          <w:szCs w:val="24"/>
          <w:bdr w:val="nil"/>
          <w:lang w:val="es-ES"/>
        </w:rPr>
      </w:pPr>
      <w:r w:rsidRPr="00254E28">
        <w:rPr>
          <w:rFonts w:ascii="Arial" w:eastAsia="Arial Unicode MS" w:hAnsi="Arial" w:cs="Arial"/>
          <w:b/>
          <w:sz w:val="24"/>
          <w:szCs w:val="24"/>
          <w:bdr w:val="nil"/>
          <w:lang w:val="es-ES"/>
        </w:rPr>
        <w:t>CUARTO.-</w:t>
      </w:r>
      <w:r w:rsidRPr="00254E28">
        <w:rPr>
          <w:rFonts w:ascii="Arial" w:eastAsia="Arial Unicode MS" w:hAnsi="Arial" w:cs="Arial"/>
          <w:sz w:val="24"/>
          <w:szCs w:val="24"/>
          <w:bdr w:val="nil"/>
          <w:lang w:val="es-ES"/>
        </w:rPr>
        <w:t xml:space="preserve"> </w:t>
      </w:r>
      <w:r w:rsidR="00E3227C" w:rsidRPr="00254E28">
        <w:rPr>
          <w:rFonts w:ascii="Arial" w:eastAsia="Arial Unicode MS" w:hAnsi="Arial" w:cs="Arial"/>
          <w:sz w:val="24"/>
          <w:szCs w:val="24"/>
          <w:bdr w:val="nil"/>
          <w:lang w:val="es-ES"/>
        </w:rPr>
        <w:t>Notifíquese el contenido del presente Dictamen a la Sindicatura, Dirección Jurídica, al Departamento de Patrimonio Municipal</w:t>
      </w:r>
      <w:r w:rsidR="00C046A4" w:rsidRPr="00254E28">
        <w:rPr>
          <w:rFonts w:ascii="Arial" w:eastAsia="Arial Unicode MS" w:hAnsi="Arial" w:cs="Arial"/>
          <w:sz w:val="24"/>
          <w:szCs w:val="24"/>
          <w:bdr w:val="nil"/>
          <w:lang w:val="es-ES"/>
        </w:rPr>
        <w:t xml:space="preserve"> y</w:t>
      </w:r>
      <w:r w:rsidR="00166A1B" w:rsidRPr="00254E28">
        <w:rPr>
          <w:rFonts w:ascii="Arial" w:eastAsia="Arial Unicode MS" w:hAnsi="Arial" w:cs="Arial"/>
          <w:sz w:val="24"/>
          <w:szCs w:val="24"/>
          <w:bdr w:val="nil"/>
          <w:lang w:val="es-ES"/>
        </w:rPr>
        <w:t xml:space="preserve"> </w:t>
      </w:r>
      <w:r w:rsidR="00187AD4" w:rsidRPr="00254E28">
        <w:rPr>
          <w:rFonts w:ascii="Arial" w:eastAsia="Arial Unicode MS" w:hAnsi="Arial" w:cs="Arial"/>
          <w:sz w:val="24"/>
          <w:szCs w:val="24"/>
          <w:bdr w:val="nil"/>
          <w:lang w:val="es-ES"/>
        </w:rPr>
        <w:t xml:space="preserve">al </w:t>
      </w:r>
      <w:r w:rsidR="00FD4B4E" w:rsidRPr="00254E28">
        <w:rPr>
          <w:rFonts w:ascii="Arial" w:eastAsia="Arial Unicode MS" w:hAnsi="Arial" w:cs="Arial"/>
          <w:sz w:val="24"/>
          <w:szCs w:val="24"/>
          <w:bdr w:val="nil"/>
          <w:lang w:val="es-ES"/>
        </w:rPr>
        <w:t>Dr. Alfonso Delgado Briseño</w:t>
      </w:r>
      <w:r w:rsidR="00187AD4" w:rsidRPr="00254E28">
        <w:rPr>
          <w:rFonts w:ascii="Arial" w:eastAsia="Arial Unicode MS" w:hAnsi="Arial" w:cs="Arial"/>
          <w:sz w:val="24"/>
          <w:szCs w:val="24"/>
          <w:bdr w:val="nil"/>
          <w:lang w:val="es-ES"/>
        </w:rPr>
        <w:t xml:space="preserve">, </w:t>
      </w:r>
      <w:r w:rsidR="0042677E" w:rsidRPr="00254E28">
        <w:rPr>
          <w:rFonts w:ascii="Arial" w:eastAsia="Arial Unicode MS" w:hAnsi="Arial" w:cs="Arial"/>
          <w:sz w:val="24"/>
          <w:szCs w:val="24"/>
          <w:bdr w:val="nil"/>
          <w:lang w:val="es-ES"/>
        </w:rPr>
        <w:t>Director</w:t>
      </w:r>
      <w:r w:rsidR="00187AD4" w:rsidRPr="00254E28">
        <w:rPr>
          <w:rFonts w:ascii="Arial" w:eastAsia="Arial Unicode MS" w:hAnsi="Arial" w:cs="Arial"/>
          <w:sz w:val="24"/>
          <w:szCs w:val="24"/>
          <w:bdr w:val="nil"/>
          <w:lang w:val="es-ES"/>
        </w:rPr>
        <w:t xml:space="preserve"> del Sistema </w:t>
      </w:r>
      <w:r w:rsidR="00FD4B4E" w:rsidRPr="00254E28">
        <w:rPr>
          <w:rFonts w:ascii="Arial" w:eastAsia="Arial Unicode MS" w:hAnsi="Arial" w:cs="Arial"/>
          <w:sz w:val="24"/>
          <w:szCs w:val="24"/>
          <w:bdr w:val="nil"/>
          <w:lang w:val="es-ES"/>
        </w:rPr>
        <w:t xml:space="preserve">de Agua Potable de Zapotlán (SAPAZA) </w:t>
      </w:r>
      <w:r w:rsidR="00187AD4" w:rsidRPr="00254E28">
        <w:rPr>
          <w:rFonts w:ascii="Arial" w:eastAsia="Arial Unicode MS" w:hAnsi="Arial" w:cs="Arial"/>
          <w:sz w:val="24"/>
          <w:szCs w:val="24"/>
          <w:bdr w:val="nil"/>
          <w:lang w:val="es-ES"/>
        </w:rPr>
        <w:t>para los efectos legales a que haya lugar.</w:t>
      </w:r>
    </w:p>
    <w:p w:rsidR="00254E28" w:rsidRDefault="00254E28" w:rsidP="00E3227C">
      <w:pPr>
        <w:spacing w:after="0" w:line="240" w:lineRule="auto"/>
        <w:jc w:val="both"/>
        <w:rPr>
          <w:rFonts w:ascii="Arial" w:eastAsia="Calibri" w:hAnsi="Arial" w:cs="Calibri"/>
          <w:b/>
          <w:bCs/>
          <w:color w:val="000000"/>
          <w:sz w:val="24"/>
          <w:u w:color="000000"/>
          <w:bdr w:val="nil"/>
        </w:rPr>
      </w:pPr>
    </w:p>
    <w:p w:rsidR="00637AE3" w:rsidRPr="00254E28" w:rsidRDefault="00637AE3" w:rsidP="00E3227C">
      <w:pPr>
        <w:pBdr>
          <w:top w:val="nil"/>
          <w:left w:val="nil"/>
          <w:bottom w:val="nil"/>
          <w:right w:val="nil"/>
          <w:between w:val="nil"/>
          <w:bar w:val="nil"/>
        </w:pBdr>
        <w:spacing w:after="0" w:line="240" w:lineRule="auto"/>
        <w:jc w:val="center"/>
        <w:rPr>
          <w:rFonts w:ascii="Arial" w:eastAsia="Calibri" w:hAnsi="Arial" w:cs="Calibri"/>
          <w:b/>
          <w:bCs/>
          <w:color w:val="000000"/>
          <w:sz w:val="20"/>
          <w:u w:color="000000"/>
          <w:bdr w:val="nil"/>
        </w:rPr>
      </w:pPr>
      <w:r w:rsidRPr="00254E28">
        <w:rPr>
          <w:rFonts w:ascii="Arial" w:eastAsia="Calibri" w:hAnsi="Arial" w:cs="Calibri"/>
          <w:b/>
          <w:bCs/>
          <w:color w:val="000000"/>
          <w:sz w:val="20"/>
          <w:u w:color="000000"/>
          <w:bdr w:val="nil"/>
        </w:rPr>
        <w:t>ATENTAMENTE</w:t>
      </w:r>
    </w:p>
    <w:p w:rsidR="00637AE3" w:rsidRPr="00254E28" w:rsidRDefault="00637AE3" w:rsidP="00E3227C">
      <w:pPr>
        <w:pBdr>
          <w:top w:val="nil"/>
          <w:left w:val="nil"/>
          <w:bottom w:val="nil"/>
          <w:right w:val="nil"/>
          <w:between w:val="nil"/>
          <w:bar w:val="nil"/>
        </w:pBdr>
        <w:spacing w:after="0" w:line="240" w:lineRule="auto"/>
        <w:jc w:val="center"/>
        <w:rPr>
          <w:rFonts w:ascii="Arial" w:eastAsia="Calibri" w:hAnsi="Arial" w:cs="Calibri"/>
          <w:b/>
          <w:bCs/>
          <w:color w:val="000000"/>
          <w:sz w:val="20"/>
          <w:u w:color="000000"/>
          <w:bdr w:val="nil"/>
        </w:rPr>
      </w:pPr>
      <w:r w:rsidRPr="00254E28">
        <w:rPr>
          <w:rFonts w:ascii="Arial" w:eastAsia="Calibri" w:hAnsi="Arial" w:cs="Calibri"/>
          <w:b/>
          <w:bCs/>
          <w:color w:val="000000"/>
          <w:sz w:val="20"/>
          <w:u w:color="000000"/>
          <w:bdr w:val="nil"/>
        </w:rPr>
        <w:t>SUFRAGIO EFECTIVO. NO REELACIÓN</w:t>
      </w:r>
    </w:p>
    <w:p w:rsidR="00187AD4" w:rsidRPr="00254E28" w:rsidRDefault="00187AD4" w:rsidP="00187AD4">
      <w:pPr>
        <w:pBdr>
          <w:top w:val="nil"/>
          <w:left w:val="nil"/>
          <w:bottom w:val="nil"/>
          <w:right w:val="nil"/>
          <w:between w:val="nil"/>
          <w:bar w:val="nil"/>
        </w:pBdr>
        <w:spacing w:after="0" w:line="240" w:lineRule="auto"/>
        <w:jc w:val="center"/>
        <w:rPr>
          <w:rFonts w:ascii="Arial" w:eastAsia="Arial Unicode MS" w:hAnsi="Arial" w:cs="Arial"/>
          <w:i/>
          <w:sz w:val="20"/>
          <w:szCs w:val="24"/>
          <w:u w:color="000000"/>
          <w:bdr w:val="nil"/>
          <w:lang w:val="es-ES"/>
        </w:rPr>
      </w:pPr>
      <w:r w:rsidRPr="00254E28">
        <w:rPr>
          <w:rFonts w:ascii="Arial" w:eastAsia="Arial Unicode MS" w:hAnsi="Arial" w:cs="Arial"/>
          <w:i/>
          <w:sz w:val="20"/>
          <w:szCs w:val="24"/>
          <w:u w:color="000000"/>
          <w:bdr w:val="nil"/>
          <w:lang w:val="es-ES"/>
        </w:rPr>
        <w:t>“2019, AÑO DE LA IGUALDAD DE GÉNERO EN JALISCO”</w:t>
      </w:r>
    </w:p>
    <w:p w:rsidR="00187AD4" w:rsidRPr="00254E28" w:rsidRDefault="00187AD4" w:rsidP="00E3227C">
      <w:pPr>
        <w:pBdr>
          <w:top w:val="nil"/>
          <w:left w:val="nil"/>
          <w:bottom w:val="nil"/>
          <w:right w:val="nil"/>
          <w:between w:val="nil"/>
          <w:bar w:val="nil"/>
        </w:pBdr>
        <w:spacing w:after="0" w:line="240" w:lineRule="auto"/>
        <w:jc w:val="center"/>
        <w:rPr>
          <w:rFonts w:ascii="Arial" w:eastAsia="Calibri" w:hAnsi="Arial" w:cs="Calibri"/>
          <w:b/>
          <w:bCs/>
          <w:color w:val="000000"/>
          <w:sz w:val="20"/>
          <w:u w:color="000000"/>
          <w:bdr w:val="nil"/>
        </w:rPr>
      </w:pPr>
      <w:r w:rsidRPr="00254E28">
        <w:rPr>
          <w:rFonts w:ascii="Arial" w:eastAsia="Arial Unicode MS" w:hAnsi="Arial" w:cs="Arial"/>
          <w:i/>
          <w:sz w:val="20"/>
          <w:szCs w:val="24"/>
          <w:u w:color="000000"/>
          <w:bdr w:val="nil"/>
          <w:lang w:val="es-ES"/>
        </w:rPr>
        <w:t>“2019, Año del LXXX Aniversario de la Escuela Secundaria Benito Juárez”</w:t>
      </w:r>
    </w:p>
    <w:p w:rsidR="00711407" w:rsidRPr="00B9296A" w:rsidRDefault="00637AE3" w:rsidP="00E3227C">
      <w:pPr>
        <w:pBdr>
          <w:top w:val="nil"/>
          <w:left w:val="nil"/>
          <w:bottom w:val="nil"/>
          <w:right w:val="nil"/>
          <w:between w:val="nil"/>
          <w:bar w:val="nil"/>
        </w:pBdr>
        <w:spacing w:after="0"/>
        <w:jc w:val="center"/>
        <w:rPr>
          <w:rFonts w:ascii="Arial" w:eastAsia="Arial" w:hAnsi="Arial" w:cs="Arial"/>
          <w:bCs/>
          <w:color w:val="000000"/>
          <w:sz w:val="24"/>
          <w:u w:color="000000"/>
          <w:bdr w:val="nil"/>
        </w:rPr>
      </w:pPr>
      <w:r w:rsidRPr="00254E28">
        <w:rPr>
          <w:rFonts w:ascii="Arial" w:eastAsia="Calibri" w:hAnsi="Arial" w:cs="Calibri"/>
          <w:bCs/>
          <w:color w:val="000000"/>
          <w:sz w:val="20"/>
          <w:u w:color="000000"/>
          <w:bdr w:val="nil"/>
        </w:rPr>
        <w:t xml:space="preserve">CIUDAD GUZMÁN, MUNICIPIO DE ZAPOTLÁN EL GRANDE, JALISCO, </w:t>
      </w:r>
      <w:r w:rsidR="0097293D" w:rsidRPr="00254E28">
        <w:rPr>
          <w:rFonts w:ascii="Arial" w:eastAsia="Calibri" w:hAnsi="Arial" w:cs="Calibri"/>
          <w:bCs/>
          <w:color w:val="000000"/>
          <w:sz w:val="20"/>
          <w:u w:color="000000"/>
          <w:bdr w:val="nil"/>
        </w:rPr>
        <w:t xml:space="preserve">JULIO </w:t>
      </w:r>
      <w:r w:rsidR="009E3CC6" w:rsidRPr="00254E28">
        <w:rPr>
          <w:rFonts w:ascii="Arial" w:eastAsia="Calibri" w:hAnsi="Arial" w:cs="Calibri"/>
          <w:bCs/>
          <w:color w:val="000000"/>
          <w:sz w:val="20"/>
          <w:u w:color="000000"/>
          <w:bdr w:val="nil"/>
        </w:rPr>
        <w:t xml:space="preserve">23 </w:t>
      </w:r>
      <w:r w:rsidR="00C951D8" w:rsidRPr="00254E28">
        <w:rPr>
          <w:rFonts w:ascii="Arial" w:eastAsia="Calibri" w:hAnsi="Arial" w:cs="Calibri"/>
          <w:bCs/>
          <w:color w:val="000000"/>
          <w:sz w:val="20"/>
          <w:u w:color="000000"/>
          <w:bdr w:val="nil"/>
        </w:rPr>
        <w:t>DEL AÑO 2019</w:t>
      </w:r>
    </w:p>
    <w:p w:rsidR="00637AE3" w:rsidRPr="00B9296A" w:rsidRDefault="00637AE3" w:rsidP="00E3227C">
      <w:pPr>
        <w:pBdr>
          <w:top w:val="nil"/>
          <w:left w:val="nil"/>
          <w:bottom w:val="nil"/>
          <w:right w:val="nil"/>
          <w:between w:val="nil"/>
          <w:bar w:val="nil"/>
        </w:pBdr>
        <w:spacing w:after="0" w:line="240" w:lineRule="auto"/>
        <w:jc w:val="center"/>
        <w:rPr>
          <w:rFonts w:ascii="Lucida Handwriting" w:eastAsia="Calibri" w:hAnsi="Lucida Handwriting" w:cs="Calibri"/>
          <w:bCs/>
          <w:color w:val="000000"/>
          <w:sz w:val="20"/>
          <w:szCs w:val="20"/>
          <w:u w:color="000000"/>
          <w:bdr w:val="nil"/>
        </w:rPr>
      </w:pPr>
      <w:r w:rsidRPr="00B9296A">
        <w:rPr>
          <w:rFonts w:ascii="Arial" w:eastAsia="Arial Unicode MS" w:hAnsi="Arial" w:cs="Arial"/>
          <w:i/>
          <w:sz w:val="24"/>
          <w:szCs w:val="24"/>
          <w:u w:color="000000"/>
          <w:bdr w:val="nil"/>
          <w:lang w:val="es-ES"/>
        </w:rPr>
        <w:t xml:space="preserve"> </w:t>
      </w:r>
    </w:p>
    <w:p w:rsidR="00637AE3" w:rsidRPr="00B9296A" w:rsidRDefault="00637AE3" w:rsidP="00E3227C">
      <w:pPr>
        <w:pBdr>
          <w:top w:val="nil"/>
          <w:left w:val="nil"/>
          <w:bottom w:val="nil"/>
          <w:right w:val="nil"/>
          <w:between w:val="nil"/>
          <w:bar w:val="nil"/>
        </w:pBdr>
        <w:spacing w:after="0" w:line="240" w:lineRule="auto"/>
        <w:jc w:val="center"/>
        <w:rPr>
          <w:rFonts w:ascii="Arial" w:eastAsia="Calibri" w:hAnsi="Arial" w:cs="Arial"/>
          <w:b/>
          <w:bCs/>
          <w:color w:val="000000"/>
          <w:sz w:val="24"/>
          <w:szCs w:val="20"/>
          <w:u w:color="000000"/>
          <w:bdr w:val="nil"/>
        </w:rPr>
      </w:pPr>
      <w:r w:rsidRPr="00B9296A">
        <w:rPr>
          <w:rFonts w:ascii="Arial" w:eastAsia="Calibri" w:hAnsi="Arial" w:cs="Arial"/>
          <w:b/>
          <w:bCs/>
          <w:color w:val="000000"/>
          <w:sz w:val="24"/>
          <w:szCs w:val="20"/>
          <w:u w:color="000000"/>
          <w:bdr w:val="nil"/>
        </w:rPr>
        <w:t>La Comisión Edilicia de Hacienda Pública y de Patrimonio Municipal</w:t>
      </w:r>
    </w:p>
    <w:p w:rsidR="00637AE3" w:rsidRDefault="00637AE3" w:rsidP="00E3227C">
      <w:pPr>
        <w:pBdr>
          <w:top w:val="nil"/>
          <w:left w:val="nil"/>
          <w:bottom w:val="nil"/>
          <w:right w:val="nil"/>
          <w:between w:val="nil"/>
          <w:bar w:val="nil"/>
        </w:pBdr>
        <w:spacing w:after="0" w:line="240" w:lineRule="auto"/>
        <w:jc w:val="center"/>
        <w:rPr>
          <w:rFonts w:ascii="Arial" w:eastAsia="Calibri" w:hAnsi="Arial" w:cs="Arial"/>
          <w:b/>
          <w:bCs/>
          <w:color w:val="000000"/>
          <w:sz w:val="24"/>
          <w:szCs w:val="20"/>
          <w:u w:color="000000"/>
          <w:bdr w:val="nil"/>
        </w:rPr>
      </w:pPr>
    </w:p>
    <w:p w:rsidR="00711407" w:rsidRPr="00B9296A" w:rsidRDefault="00711407" w:rsidP="00E3227C">
      <w:pPr>
        <w:pBdr>
          <w:top w:val="nil"/>
          <w:left w:val="nil"/>
          <w:bottom w:val="nil"/>
          <w:right w:val="nil"/>
          <w:between w:val="nil"/>
          <w:bar w:val="nil"/>
        </w:pBdr>
        <w:spacing w:after="0" w:line="240" w:lineRule="auto"/>
        <w:jc w:val="center"/>
        <w:rPr>
          <w:rFonts w:ascii="Arial" w:eastAsia="Calibri" w:hAnsi="Arial" w:cs="Arial"/>
          <w:b/>
          <w:bCs/>
          <w:color w:val="000000"/>
          <w:sz w:val="24"/>
          <w:szCs w:val="20"/>
          <w:u w:color="000000"/>
          <w:bdr w:val="nil"/>
        </w:rPr>
      </w:pPr>
    </w:p>
    <w:p w:rsidR="00637AE3" w:rsidRPr="00B9296A" w:rsidRDefault="00637AE3" w:rsidP="00E3227C">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637AE3" w:rsidRPr="00B9296A" w:rsidRDefault="00637AE3" w:rsidP="00E3227C">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sidRPr="00B9296A">
        <w:rPr>
          <w:rFonts w:ascii="Arial" w:eastAsia="Calibri" w:hAnsi="Arial" w:cs="Arial"/>
          <w:bCs/>
          <w:color w:val="000000"/>
          <w:sz w:val="24"/>
          <w:szCs w:val="20"/>
          <w:u w:color="000000"/>
          <w:bdr w:val="nil"/>
        </w:rPr>
        <w:t>LIC. LAURA ELENA MARTÍNEZ RUVALCABA</w:t>
      </w:r>
    </w:p>
    <w:p w:rsidR="00637AE3" w:rsidRPr="00B9296A" w:rsidRDefault="00637AE3" w:rsidP="00E3227C">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r>
        <w:rPr>
          <w:rFonts w:ascii="Arial" w:eastAsia="Calibri" w:hAnsi="Arial" w:cs="Arial"/>
          <w:bCs/>
          <w:color w:val="000000"/>
          <w:szCs w:val="20"/>
          <w:u w:color="000000"/>
          <w:bdr w:val="nil"/>
        </w:rPr>
        <w:t>Presidenta</w:t>
      </w:r>
      <w:r w:rsidRPr="00B9296A">
        <w:rPr>
          <w:rFonts w:ascii="Arial" w:eastAsia="Calibri" w:hAnsi="Arial" w:cs="Arial"/>
          <w:bCs/>
          <w:color w:val="000000"/>
          <w:szCs w:val="20"/>
          <w:u w:color="000000"/>
          <w:bdr w:val="nil"/>
        </w:rPr>
        <w:t xml:space="preserve"> de la Comisión</w:t>
      </w:r>
    </w:p>
    <w:p w:rsidR="00166A1B" w:rsidRDefault="00166A1B" w:rsidP="00E3227C">
      <w:pPr>
        <w:pBdr>
          <w:top w:val="nil"/>
          <w:left w:val="nil"/>
          <w:bottom w:val="nil"/>
          <w:right w:val="nil"/>
          <w:between w:val="nil"/>
          <w:bar w:val="nil"/>
        </w:pBdr>
        <w:spacing w:after="0" w:line="240" w:lineRule="auto"/>
        <w:jc w:val="both"/>
        <w:rPr>
          <w:rFonts w:ascii="Arial" w:eastAsia="Calibri" w:hAnsi="Arial" w:cs="Arial"/>
          <w:bCs/>
          <w:color w:val="000000"/>
          <w:szCs w:val="20"/>
          <w:u w:color="000000"/>
          <w:bdr w:val="nil"/>
        </w:rPr>
      </w:pPr>
    </w:p>
    <w:p w:rsidR="00166A1B" w:rsidRDefault="00166A1B" w:rsidP="00711407">
      <w:pPr>
        <w:pBdr>
          <w:top w:val="nil"/>
          <w:left w:val="nil"/>
          <w:bottom w:val="nil"/>
          <w:right w:val="nil"/>
          <w:between w:val="nil"/>
          <w:bar w:val="nil"/>
        </w:pBdr>
        <w:spacing w:after="0" w:line="240" w:lineRule="auto"/>
        <w:jc w:val="both"/>
        <w:rPr>
          <w:rFonts w:ascii="Arial" w:eastAsia="Calibri" w:hAnsi="Arial" w:cs="Arial"/>
          <w:bCs/>
          <w:color w:val="000000"/>
          <w:szCs w:val="20"/>
          <w:u w:color="000000"/>
          <w:bdr w:val="nil"/>
        </w:rPr>
      </w:pPr>
    </w:p>
    <w:p w:rsidR="00CF3C2F" w:rsidRDefault="00CF3C2F" w:rsidP="00711407">
      <w:pPr>
        <w:pBdr>
          <w:top w:val="nil"/>
          <w:left w:val="nil"/>
          <w:bottom w:val="nil"/>
          <w:right w:val="nil"/>
          <w:between w:val="nil"/>
          <w:bar w:val="nil"/>
        </w:pBdr>
        <w:spacing w:after="0" w:line="240" w:lineRule="auto"/>
        <w:jc w:val="both"/>
        <w:rPr>
          <w:rFonts w:ascii="Arial" w:eastAsia="Calibri" w:hAnsi="Arial" w:cs="Arial"/>
          <w:bCs/>
          <w:color w:val="000000"/>
          <w:szCs w:val="20"/>
          <w:u w:color="000000"/>
          <w:bdr w:val="nil"/>
        </w:rPr>
      </w:pPr>
    </w:p>
    <w:p w:rsidR="00711407" w:rsidRDefault="00711407" w:rsidP="00711407">
      <w:pPr>
        <w:pBdr>
          <w:top w:val="nil"/>
          <w:left w:val="nil"/>
          <w:bottom w:val="nil"/>
          <w:right w:val="nil"/>
          <w:between w:val="nil"/>
          <w:bar w:val="nil"/>
        </w:pBdr>
        <w:spacing w:after="0" w:line="240" w:lineRule="auto"/>
        <w:jc w:val="both"/>
        <w:rPr>
          <w:rFonts w:ascii="Arial" w:eastAsia="Calibri" w:hAnsi="Arial" w:cs="Arial"/>
          <w:bCs/>
          <w:color w:val="000000"/>
          <w:szCs w:val="20"/>
          <w:u w:color="000000"/>
          <w:bdr w:val="nil"/>
        </w:rPr>
      </w:pPr>
    </w:p>
    <w:p w:rsidR="00711407" w:rsidRDefault="00711407" w:rsidP="00711407">
      <w:pPr>
        <w:pBdr>
          <w:top w:val="nil"/>
          <w:left w:val="nil"/>
          <w:bottom w:val="nil"/>
          <w:right w:val="nil"/>
          <w:between w:val="nil"/>
          <w:bar w:val="nil"/>
        </w:pBdr>
        <w:spacing w:after="0" w:line="240" w:lineRule="auto"/>
        <w:jc w:val="both"/>
        <w:rPr>
          <w:rFonts w:ascii="Arial" w:eastAsia="Calibri" w:hAnsi="Arial" w:cs="Arial"/>
          <w:bCs/>
          <w:color w:val="000000"/>
          <w:szCs w:val="20"/>
          <w:u w:color="000000"/>
          <w:bdr w:val="nil"/>
        </w:rPr>
      </w:pPr>
    </w:p>
    <w:p w:rsidR="00166A1B" w:rsidRPr="00166A1B" w:rsidRDefault="00166A1B" w:rsidP="00711407">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r>
        <w:rPr>
          <w:rFonts w:ascii="Arial" w:eastAsia="Calibri" w:hAnsi="Arial" w:cs="Arial"/>
          <w:bCs/>
          <w:color w:val="000000"/>
          <w:szCs w:val="20"/>
          <w:u w:color="000000"/>
          <w:bdr w:val="nil"/>
        </w:rPr>
        <w:t>MTRA</w:t>
      </w:r>
      <w:r w:rsidRPr="00166A1B">
        <w:rPr>
          <w:rFonts w:ascii="Arial" w:eastAsia="Calibri" w:hAnsi="Arial" w:cs="Arial"/>
          <w:bCs/>
          <w:color w:val="000000"/>
          <w:szCs w:val="20"/>
          <w:u w:color="000000"/>
          <w:bdr w:val="nil"/>
        </w:rPr>
        <w:t>. CINDY ESTEFANY GARCÍA OROZCO</w:t>
      </w:r>
    </w:p>
    <w:p w:rsidR="00166A1B" w:rsidRDefault="00166A1B" w:rsidP="00711407">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r>
        <w:rPr>
          <w:rFonts w:ascii="Arial" w:eastAsia="Calibri" w:hAnsi="Arial" w:cs="Arial"/>
          <w:bCs/>
          <w:color w:val="000000"/>
          <w:szCs w:val="20"/>
          <w:u w:color="000000"/>
          <w:bdr w:val="nil"/>
        </w:rPr>
        <w:t xml:space="preserve">Vocal </w:t>
      </w:r>
    </w:p>
    <w:p w:rsidR="00166A1B" w:rsidRDefault="00166A1B" w:rsidP="00711407">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rsidR="00CF3C2F" w:rsidRDefault="00CF3C2F" w:rsidP="00711407">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rsidR="00166A1B" w:rsidRPr="00166A1B" w:rsidRDefault="00166A1B" w:rsidP="00711407">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rsidR="00166A1B" w:rsidRPr="00166A1B" w:rsidRDefault="00166A1B" w:rsidP="00711407">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rsidR="00166A1B" w:rsidRDefault="00166A1B" w:rsidP="00711407">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r w:rsidRPr="00166A1B">
        <w:rPr>
          <w:rFonts w:ascii="Arial" w:eastAsia="Calibri" w:hAnsi="Arial" w:cs="Arial"/>
          <w:bCs/>
          <w:color w:val="000000"/>
          <w:szCs w:val="20"/>
          <w:u w:color="000000"/>
          <w:bdr w:val="nil"/>
        </w:rPr>
        <w:t>MTRO. MANUEL DE JESÚS JIMÉNEZ GARMA</w:t>
      </w:r>
    </w:p>
    <w:p w:rsidR="00166A1B" w:rsidRPr="00166A1B" w:rsidRDefault="00166A1B" w:rsidP="00711407">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r>
        <w:rPr>
          <w:rFonts w:ascii="Arial" w:eastAsia="Calibri" w:hAnsi="Arial" w:cs="Arial"/>
          <w:bCs/>
          <w:color w:val="000000"/>
          <w:szCs w:val="20"/>
          <w:u w:color="000000"/>
          <w:bdr w:val="nil"/>
        </w:rPr>
        <w:t>Vocal</w:t>
      </w:r>
    </w:p>
    <w:p w:rsidR="00166A1B" w:rsidRPr="00166A1B" w:rsidRDefault="00166A1B" w:rsidP="00711407">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rsidR="00166A1B" w:rsidRDefault="00166A1B" w:rsidP="00711407">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p>
    <w:p w:rsidR="00CF3C2F" w:rsidRDefault="00CF3C2F" w:rsidP="00711407">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p>
    <w:p w:rsidR="00CF3C2F" w:rsidRPr="00166A1B" w:rsidRDefault="00CF3C2F" w:rsidP="00711407">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p>
    <w:p w:rsidR="00166A1B" w:rsidRPr="00166A1B" w:rsidRDefault="00166A1B" w:rsidP="00711407">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p>
    <w:p w:rsidR="00166A1B" w:rsidRPr="00166A1B" w:rsidRDefault="00166A1B" w:rsidP="00711407">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r w:rsidRPr="00166A1B">
        <w:rPr>
          <w:rFonts w:ascii="Arial" w:eastAsia="Calibri" w:hAnsi="Arial" w:cs="Arial"/>
          <w:bCs/>
          <w:color w:val="000000"/>
          <w:szCs w:val="20"/>
          <w:u w:color="000000"/>
          <w:bdr w:val="nil"/>
        </w:rPr>
        <w:t>LIC. TANIA MAGDALENA BERNARDINO JUARE</w:t>
      </w:r>
      <w:r>
        <w:rPr>
          <w:rFonts w:ascii="Arial" w:eastAsia="Calibri" w:hAnsi="Arial" w:cs="Arial"/>
          <w:bCs/>
          <w:color w:val="000000"/>
          <w:szCs w:val="20"/>
          <w:u w:color="000000"/>
          <w:bdr w:val="nil"/>
        </w:rPr>
        <w:t>Z</w:t>
      </w:r>
    </w:p>
    <w:p w:rsidR="00166A1B" w:rsidRPr="00166A1B" w:rsidRDefault="00166A1B" w:rsidP="00711407">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bookmarkStart w:id="0" w:name="_Hlk527893318"/>
      <w:r>
        <w:rPr>
          <w:rFonts w:ascii="Arial" w:eastAsia="Calibri" w:hAnsi="Arial" w:cs="Arial"/>
          <w:bCs/>
          <w:color w:val="000000"/>
          <w:szCs w:val="20"/>
          <w:u w:color="000000"/>
          <w:bdr w:val="nil"/>
        </w:rPr>
        <w:t>Vocal</w:t>
      </w:r>
    </w:p>
    <w:bookmarkEnd w:id="0"/>
    <w:p w:rsidR="00166A1B" w:rsidRDefault="00166A1B" w:rsidP="00711407">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rsidR="00CF3C2F" w:rsidRDefault="00CF3C2F" w:rsidP="00711407">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rsidR="00CF3C2F" w:rsidRPr="00166A1B" w:rsidRDefault="00CF3C2F" w:rsidP="00711407">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rsidR="00166A1B" w:rsidRPr="00166A1B" w:rsidRDefault="00166A1B" w:rsidP="00711407">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rsidR="00166A1B" w:rsidRPr="00166A1B" w:rsidRDefault="00166A1B" w:rsidP="00711407">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rsidR="00166A1B" w:rsidRPr="00166A1B" w:rsidRDefault="00166A1B" w:rsidP="00711407">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r w:rsidRPr="00166A1B">
        <w:rPr>
          <w:rFonts w:ascii="Arial" w:eastAsia="Calibri" w:hAnsi="Arial" w:cs="Arial"/>
          <w:bCs/>
          <w:color w:val="000000"/>
          <w:szCs w:val="20"/>
          <w:u w:color="000000"/>
          <w:bdr w:val="nil"/>
        </w:rPr>
        <w:t>MTRO. NOE SAUL RAMOS GARCÍA</w:t>
      </w:r>
    </w:p>
    <w:p w:rsidR="00166A1B" w:rsidRPr="00166A1B" w:rsidRDefault="00166A1B" w:rsidP="00711407">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r>
        <w:rPr>
          <w:rFonts w:ascii="Arial" w:eastAsia="Calibri" w:hAnsi="Arial" w:cs="Arial"/>
          <w:bCs/>
          <w:color w:val="000000"/>
          <w:szCs w:val="20"/>
          <w:u w:color="000000"/>
          <w:bdr w:val="nil"/>
        </w:rPr>
        <w:t>Vocal</w:t>
      </w:r>
    </w:p>
    <w:p w:rsidR="00254E28" w:rsidRDefault="00254E28" w:rsidP="00637AE3">
      <w:pPr>
        <w:spacing w:after="0" w:line="240" w:lineRule="auto"/>
        <w:jc w:val="both"/>
        <w:rPr>
          <w:rFonts w:ascii="Arial" w:eastAsia="Arial Unicode MS" w:hAnsi="Arial" w:cs="Arial"/>
          <w:sz w:val="18"/>
          <w:szCs w:val="24"/>
          <w:bdr w:val="nil"/>
          <w:lang w:val="es-ES"/>
        </w:rPr>
      </w:pPr>
    </w:p>
    <w:p w:rsidR="00254E28" w:rsidRDefault="00254E28" w:rsidP="00637AE3">
      <w:pPr>
        <w:spacing w:after="0" w:line="240" w:lineRule="auto"/>
        <w:jc w:val="both"/>
        <w:rPr>
          <w:rFonts w:ascii="Arial" w:eastAsia="Arial Unicode MS" w:hAnsi="Arial" w:cs="Arial"/>
          <w:sz w:val="18"/>
          <w:szCs w:val="24"/>
          <w:bdr w:val="nil"/>
          <w:lang w:val="es-ES"/>
        </w:rPr>
      </w:pPr>
    </w:p>
    <w:p w:rsidR="00254E28" w:rsidRDefault="00254E28" w:rsidP="00637AE3">
      <w:pPr>
        <w:spacing w:after="0" w:line="240" w:lineRule="auto"/>
        <w:jc w:val="both"/>
        <w:rPr>
          <w:rFonts w:ascii="Arial" w:eastAsia="Arial Unicode MS" w:hAnsi="Arial" w:cs="Arial"/>
          <w:sz w:val="18"/>
          <w:szCs w:val="24"/>
          <w:bdr w:val="nil"/>
          <w:lang w:val="es-ES"/>
        </w:rPr>
      </w:pPr>
    </w:p>
    <w:p w:rsidR="00254E28" w:rsidRDefault="00254E28" w:rsidP="00637AE3">
      <w:pPr>
        <w:spacing w:after="0" w:line="240" w:lineRule="auto"/>
        <w:jc w:val="both"/>
        <w:rPr>
          <w:rFonts w:ascii="Arial" w:eastAsia="Arial Unicode MS" w:hAnsi="Arial" w:cs="Arial"/>
          <w:sz w:val="18"/>
          <w:szCs w:val="24"/>
          <w:bdr w:val="nil"/>
          <w:lang w:val="es-ES"/>
        </w:rPr>
      </w:pPr>
    </w:p>
    <w:p w:rsidR="00254E28" w:rsidRPr="00254E28" w:rsidRDefault="00254E28" w:rsidP="00254E28">
      <w:pPr>
        <w:spacing w:line="240" w:lineRule="auto"/>
        <w:jc w:val="both"/>
        <w:rPr>
          <w:rFonts w:ascii="Arial" w:eastAsia="Arial Unicode MS" w:hAnsi="Arial" w:cs="Arial"/>
          <w:sz w:val="18"/>
          <w:szCs w:val="24"/>
          <w:bdr w:val="nil"/>
          <w:lang w:val="es-ES"/>
        </w:rPr>
      </w:pPr>
      <w:r w:rsidRPr="00254E28">
        <w:rPr>
          <w:rFonts w:ascii="Calibri" w:eastAsia="Calibri" w:hAnsi="Calibri" w:cs="Calibri"/>
          <w:sz w:val="16"/>
          <w:szCs w:val="16"/>
        </w:rPr>
        <w:t xml:space="preserve">Esta hoja de firmas pertenece al </w:t>
      </w:r>
      <w:r w:rsidRPr="00254E28">
        <w:rPr>
          <w:rFonts w:ascii="Calibri" w:eastAsia="Calibri" w:hAnsi="Calibri" w:cs="Calibri"/>
          <w:b/>
          <w:sz w:val="16"/>
          <w:szCs w:val="16"/>
          <w:lang w:val="es-ES"/>
        </w:rPr>
        <w:t>DICTAMEN QUE PROPONE LA APROBACIÓN DE SUSCRIBIR CONTRATOS DE COMODATO DE 08 OCHO BIENES INMUEBLES DE PROPIEDAD MUNICIPAL A FAVOR DEL SISTEMA DE AGUA POTABLE DE ZAPOTLÁN, SAPAZA</w:t>
      </w:r>
      <w:r>
        <w:rPr>
          <w:rFonts w:ascii="Calibri" w:eastAsia="Calibri" w:hAnsi="Calibri" w:cs="Calibri"/>
          <w:b/>
          <w:sz w:val="16"/>
          <w:szCs w:val="16"/>
          <w:lang w:val="es-ES"/>
        </w:rPr>
        <w:t>.</w:t>
      </w:r>
    </w:p>
    <w:p w:rsidR="00254E28" w:rsidRDefault="00254E28" w:rsidP="00637AE3">
      <w:pPr>
        <w:spacing w:after="0" w:line="240" w:lineRule="auto"/>
        <w:jc w:val="both"/>
        <w:rPr>
          <w:rFonts w:ascii="Arial" w:eastAsia="Arial Unicode MS" w:hAnsi="Arial" w:cs="Arial"/>
          <w:sz w:val="18"/>
          <w:szCs w:val="24"/>
          <w:bdr w:val="nil"/>
          <w:lang w:val="es-ES"/>
        </w:rPr>
      </w:pPr>
    </w:p>
    <w:p w:rsidR="00254E28" w:rsidRDefault="00254E28" w:rsidP="00637AE3">
      <w:pPr>
        <w:spacing w:after="0" w:line="240" w:lineRule="auto"/>
        <w:jc w:val="both"/>
        <w:rPr>
          <w:rFonts w:ascii="Arial" w:eastAsia="Arial Unicode MS" w:hAnsi="Arial" w:cs="Arial"/>
          <w:sz w:val="18"/>
          <w:szCs w:val="24"/>
          <w:bdr w:val="nil"/>
          <w:lang w:val="es-ES"/>
        </w:rPr>
      </w:pPr>
    </w:p>
    <w:p w:rsidR="00254E28" w:rsidRDefault="00254E28" w:rsidP="00637AE3">
      <w:pPr>
        <w:spacing w:after="0" w:line="240" w:lineRule="auto"/>
        <w:jc w:val="both"/>
        <w:rPr>
          <w:rFonts w:ascii="Arial" w:eastAsia="Arial Unicode MS" w:hAnsi="Arial" w:cs="Arial"/>
          <w:sz w:val="18"/>
          <w:szCs w:val="24"/>
          <w:bdr w:val="nil"/>
          <w:lang w:val="es-ES"/>
        </w:rPr>
      </w:pPr>
    </w:p>
    <w:p w:rsidR="00CF3C2F" w:rsidRDefault="00CF3C2F" w:rsidP="00637AE3">
      <w:pPr>
        <w:spacing w:after="0" w:line="240" w:lineRule="auto"/>
        <w:jc w:val="both"/>
        <w:rPr>
          <w:rFonts w:ascii="Arial" w:eastAsia="Arial Unicode MS" w:hAnsi="Arial" w:cs="Arial"/>
          <w:sz w:val="18"/>
          <w:szCs w:val="24"/>
          <w:bdr w:val="nil"/>
          <w:lang w:val="es-ES"/>
        </w:rPr>
      </w:pPr>
    </w:p>
    <w:p w:rsidR="00CF3C2F" w:rsidRDefault="00CF3C2F" w:rsidP="00637AE3">
      <w:pPr>
        <w:spacing w:after="0" w:line="240" w:lineRule="auto"/>
        <w:jc w:val="both"/>
        <w:rPr>
          <w:rFonts w:ascii="Arial" w:eastAsia="Arial Unicode MS" w:hAnsi="Arial" w:cs="Arial"/>
          <w:sz w:val="18"/>
          <w:szCs w:val="24"/>
          <w:bdr w:val="nil"/>
          <w:lang w:val="es-ES"/>
        </w:rPr>
      </w:pPr>
      <w:bookmarkStart w:id="1" w:name="_GoBack"/>
      <w:bookmarkEnd w:id="1"/>
    </w:p>
    <w:p w:rsidR="00166A1B" w:rsidRDefault="00166A1B" w:rsidP="00637AE3">
      <w:pPr>
        <w:spacing w:after="0" w:line="240" w:lineRule="auto"/>
        <w:jc w:val="both"/>
        <w:rPr>
          <w:rFonts w:ascii="Arial" w:eastAsia="Arial Unicode MS" w:hAnsi="Arial" w:cs="Arial"/>
          <w:sz w:val="18"/>
          <w:szCs w:val="24"/>
          <w:bdr w:val="nil"/>
          <w:lang w:val="es-ES"/>
        </w:rPr>
      </w:pPr>
    </w:p>
    <w:p w:rsidR="00637AE3" w:rsidRDefault="00637AE3" w:rsidP="00637AE3">
      <w:pPr>
        <w:spacing w:after="0" w:line="240" w:lineRule="auto"/>
        <w:jc w:val="both"/>
        <w:rPr>
          <w:rFonts w:ascii="Arial" w:eastAsia="Arial Unicode MS" w:hAnsi="Arial" w:cs="Arial"/>
          <w:sz w:val="18"/>
          <w:szCs w:val="24"/>
          <w:bdr w:val="nil"/>
          <w:lang w:val="es-ES"/>
        </w:rPr>
      </w:pPr>
      <w:proofErr w:type="spellStart"/>
      <w:r w:rsidRPr="00B9296A">
        <w:rPr>
          <w:rFonts w:ascii="Arial" w:eastAsia="Arial Unicode MS" w:hAnsi="Arial" w:cs="Arial"/>
          <w:sz w:val="18"/>
          <w:szCs w:val="24"/>
          <w:bdr w:val="nil"/>
          <w:lang w:val="es-ES"/>
        </w:rPr>
        <w:t>C.c.p</w:t>
      </w:r>
      <w:proofErr w:type="spellEnd"/>
      <w:r w:rsidRPr="00B9296A">
        <w:rPr>
          <w:rFonts w:ascii="Arial" w:eastAsia="Arial Unicode MS" w:hAnsi="Arial" w:cs="Arial"/>
          <w:sz w:val="18"/>
          <w:szCs w:val="24"/>
          <w:bdr w:val="nil"/>
          <w:lang w:val="es-ES"/>
        </w:rPr>
        <w:t>. Archivo</w:t>
      </w:r>
      <w:r>
        <w:rPr>
          <w:rFonts w:ascii="Arial" w:eastAsia="Arial Unicode MS" w:hAnsi="Arial" w:cs="Arial"/>
          <w:sz w:val="18"/>
          <w:szCs w:val="24"/>
          <w:bdr w:val="nil"/>
          <w:lang w:val="es-ES"/>
        </w:rPr>
        <w:t xml:space="preserve"> </w:t>
      </w:r>
    </w:p>
    <w:p w:rsidR="00F01889" w:rsidRDefault="00637AE3" w:rsidP="000A6AC1">
      <w:pPr>
        <w:spacing w:after="0" w:line="240" w:lineRule="auto"/>
        <w:jc w:val="both"/>
      </w:pPr>
      <w:r w:rsidRPr="00B9296A">
        <w:rPr>
          <w:rFonts w:ascii="Arial" w:eastAsia="Arial Unicode MS" w:hAnsi="Arial" w:cs="Arial"/>
          <w:sz w:val="18"/>
          <w:szCs w:val="24"/>
          <w:bdr w:val="nil"/>
          <w:lang w:val="es-ES"/>
        </w:rPr>
        <w:t>LEMR/ama</w:t>
      </w:r>
    </w:p>
    <w:sectPr w:rsidR="00F01889" w:rsidSect="00F01889">
      <w:headerReference w:type="default" r:id="rId8"/>
      <w:pgSz w:w="12240" w:h="15840"/>
      <w:pgMar w:top="2552" w:right="1134" w:bottom="1985" w:left="1701" w:header="34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13E" w:rsidRDefault="0063413E">
      <w:pPr>
        <w:spacing w:after="0" w:line="240" w:lineRule="auto"/>
      </w:pPr>
      <w:r>
        <w:separator/>
      </w:r>
    </w:p>
  </w:endnote>
  <w:endnote w:type="continuationSeparator" w:id="0">
    <w:p w:rsidR="0063413E" w:rsidRDefault="00634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13E" w:rsidRDefault="0063413E">
      <w:pPr>
        <w:spacing w:after="0" w:line="240" w:lineRule="auto"/>
      </w:pPr>
      <w:r>
        <w:separator/>
      </w:r>
    </w:p>
  </w:footnote>
  <w:footnote w:type="continuationSeparator" w:id="0">
    <w:p w:rsidR="0063413E" w:rsidRDefault="006341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889" w:rsidRDefault="00CF3C2F">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r w:rsidR="00F01889">
      <w:ptab w:relativeTo="indent" w:alignment="left" w:leader="none"/>
    </w:r>
    <w:r w:rsidR="00F01889">
      <w:ptab w:relativeTo="margin" w:alignment="lef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5769CC"/>
    <w:multiLevelType w:val="hybridMultilevel"/>
    <w:tmpl w:val="03BA59FE"/>
    <w:lvl w:ilvl="0" w:tplc="080A0017">
      <w:start w:val="1"/>
      <w:numFmt w:val="lowerLetter"/>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
    <w:nsid w:val="75BC054E"/>
    <w:multiLevelType w:val="hybridMultilevel"/>
    <w:tmpl w:val="5BAC3F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DDC33DD"/>
    <w:multiLevelType w:val="hybridMultilevel"/>
    <w:tmpl w:val="1B8C2A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AE3"/>
    <w:rsid w:val="00023359"/>
    <w:rsid w:val="000367CE"/>
    <w:rsid w:val="00043DFA"/>
    <w:rsid w:val="000603DB"/>
    <w:rsid w:val="00071082"/>
    <w:rsid w:val="00074292"/>
    <w:rsid w:val="00083F2C"/>
    <w:rsid w:val="00091C0D"/>
    <w:rsid w:val="000A6AC1"/>
    <w:rsid w:val="000C129B"/>
    <w:rsid w:val="000D4D33"/>
    <w:rsid w:val="00117786"/>
    <w:rsid w:val="001629C8"/>
    <w:rsid w:val="00166A1B"/>
    <w:rsid w:val="00187AD4"/>
    <w:rsid w:val="001C7CFE"/>
    <w:rsid w:val="001E086B"/>
    <w:rsid w:val="0022799E"/>
    <w:rsid w:val="00254E28"/>
    <w:rsid w:val="00275D82"/>
    <w:rsid w:val="002A0746"/>
    <w:rsid w:val="002A6B35"/>
    <w:rsid w:val="003116D8"/>
    <w:rsid w:val="00337D26"/>
    <w:rsid w:val="00344F2B"/>
    <w:rsid w:val="00393937"/>
    <w:rsid w:val="003A1FCA"/>
    <w:rsid w:val="003E3B1E"/>
    <w:rsid w:val="00410B5E"/>
    <w:rsid w:val="0042245A"/>
    <w:rsid w:val="0042677E"/>
    <w:rsid w:val="00444F77"/>
    <w:rsid w:val="004719B5"/>
    <w:rsid w:val="00491D18"/>
    <w:rsid w:val="00493D80"/>
    <w:rsid w:val="004A2BC9"/>
    <w:rsid w:val="004C517C"/>
    <w:rsid w:val="004E557F"/>
    <w:rsid w:val="00513822"/>
    <w:rsid w:val="00533024"/>
    <w:rsid w:val="00541FBA"/>
    <w:rsid w:val="00566EB4"/>
    <w:rsid w:val="005819DA"/>
    <w:rsid w:val="005A7082"/>
    <w:rsid w:val="005E478B"/>
    <w:rsid w:val="0063413E"/>
    <w:rsid w:val="00637AE3"/>
    <w:rsid w:val="00641D56"/>
    <w:rsid w:val="006675F4"/>
    <w:rsid w:val="006E7288"/>
    <w:rsid w:val="006F1FDD"/>
    <w:rsid w:val="00711407"/>
    <w:rsid w:val="007A36D5"/>
    <w:rsid w:val="008064D5"/>
    <w:rsid w:val="00842252"/>
    <w:rsid w:val="00861CF3"/>
    <w:rsid w:val="00871F6D"/>
    <w:rsid w:val="008D111A"/>
    <w:rsid w:val="00923650"/>
    <w:rsid w:val="0094115C"/>
    <w:rsid w:val="009510C0"/>
    <w:rsid w:val="009610F9"/>
    <w:rsid w:val="009612A0"/>
    <w:rsid w:val="0097293D"/>
    <w:rsid w:val="0097552D"/>
    <w:rsid w:val="00976599"/>
    <w:rsid w:val="009814BC"/>
    <w:rsid w:val="009D2380"/>
    <w:rsid w:val="009E3CC6"/>
    <w:rsid w:val="009F12B3"/>
    <w:rsid w:val="00A25BA5"/>
    <w:rsid w:val="00A735EE"/>
    <w:rsid w:val="00A76B57"/>
    <w:rsid w:val="00A9429F"/>
    <w:rsid w:val="00AE2918"/>
    <w:rsid w:val="00B26461"/>
    <w:rsid w:val="00B507AF"/>
    <w:rsid w:val="00B523EA"/>
    <w:rsid w:val="00B53FDB"/>
    <w:rsid w:val="00B57890"/>
    <w:rsid w:val="00B7523A"/>
    <w:rsid w:val="00B767CA"/>
    <w:rsid w:val="00B93BD3"/>
    <w:rsid w:val="00BB3E7C"/>
    <w:rsid w:val="00BB51A3"/>
    <w:rsid w:val="00C046A4"/>
    <w:rsid w:val="00C4774F"/>
    <w:rsid w:val="00C810B8"/>
    <w:rsid w:val="00C87593"/>
    <w:rsid w:val="00C951D8"/>
    <w:rsid w:val="00C96752"/>
    <w:rsid w:val="00CA1C2F"/>
    <w:rsid w:val="00CA3904"/>
    <w:rsid w:val="00CA6559"/>
    <w:rsid w:val="00CB40A5"/>
    <w:rsid w:val="00CE3684"/>
    <w:rsid w:val="00CF3C2F"/>
    <w:rsid w:val="00D10C9E"/>
    <w:rsid w:val="00D37440"/>
    <w:rsid w:val="00D43827"/>
    <w:rsid w:val="00D45015"/>
    <w:rsid w:val="00D53A45"/>
    <w:rsid w:val="00DB47AA"/>
    <w:rsid w:val="00DC479E"/>
    <w:rsid w:val="00DD461F"/>
    <w:rsid w:val="00DD48BD"/>
    <w:rsid w:val="00DD594D"/>
    <w:rsid w:val="00DE4D7C"/>
    <w:rsid w:val="00DF254B"/>
    <w:rsid w:val="00E26B5A"/>
    <w:rsid w:val="00E3227C"/>
    <w:rsid w:val="00E75E91"/>
    <w:rsid w:val="00E87BFB"/>
    <w:rsid w:val="00E935B3"/>
    <w:rsid w:val="00EA6EFE"/>
    <w:rsid w:val="00EB734E"/>
    <w:rsid w:val="00EC419F"/>
    <w:rsid w:val="00ED07F4"/>
    <w:rsid w:val="00F01889"/>
    <w:rsid w:val="00F072C9"/>
    <w:rsid w:val="00F4332D"/>
    <w:rsid w:val="00F46B05"/>
    <w:rsid w:val="00FD4B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4C902EAE-43F2-4230-9082-31EAC27E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A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7A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7AE3"/>
  </w:style>
  <w:style w:type="paragraph" w:styleId="Piedepgina">
    <w:name w:val="footer"/>
    <w:basedOn w:val="Normal"/>
    <w:link w:val="PiedepginaCar"/>
    <w:uiPriority w:val="99"/>
    <w:unhideWhenUsed/>
    <w:rsid w:val="00637A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7AE3"/>
  </w:style>
  <w:style w:type="paragraph" w:styleId="Prrafodelista">
    <w:name w:val="List Paragraph"/>
    <w:basedOn w:val="Normal"/>
    <w:uiPriority w:val="34"/>
    <w:qFormat/>
    <w:rsid w:val="00E3227C"/>
    <w:pPr>
      <w:ind w:left="720"/>
      <w:contextualSpacing/>
    </w:pPr>
  </w:style>
  <w:style w:type="paragraph" w:styleId="Textodeglobo">
    <w:name w:val="Balloon Text"/>
    <w:basedOn w:val="Normal"/>
    <w:link w:val="TextodegloboCar"/>
    <w:uiPriority w:val="99"/>
    <w:semiHidden/>
    <w:unhideWhenUsed/>
    <w:rsid w:val="00C9675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6752"/>
    <w:rPr>
      <w:rFonts w:ascii="Segoe UI" w:hAnsi="Segoe UI" w:cs="Segoe UI"/>
      <w:sz w:val="18"/>
      <w:szCs w:val="18"/>
    </w:rPr>
  </w:style>
  <w:style w:type="table" w:styleId="Tablaconcuadrcula">
    <w:name w:val="Table Grid"/>
    <w:basedOn w:val="Tablanormal"/>
    <w:uiPriority w:val="59"/>
    <w:rsid w:val="00C477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B8AC5-CD1B-45A5-AB44-CBF6B2EA9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5</Pages>
  <Words>1413</Words>
  <Characters>7773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Genaro Solano Villalvazo</dc:creator>
  <cp:keywords/>
  <dc:description/>
  <cp:lastModifiedBy>Alfonso Martinez Alegre</cp:lastModifiedBy>
  <cp:revision>84</cp:revision>
  <cp:lastPrinted>2018-11-27T19:10:00Z</cp:lastPrinted>
  <dcterms:created xsi:type="dcterms:W3CDTF">2018-03-02T15:22:00Z</dcterms:created>
  <dcterms:modified xsi:type="dcterms:W3CDTF">2019-07-23T14:17:00Z</dcterms:modified>
</cp:coreProperties>
</file>